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DX-2026-012</w:t>
      </w:r>
    </w:p>
    <w:p>
      <w:pPr>
        <w:pStyle w:val="Heading1"/>
      </w:pPr>
      <w:bookmarkStart w:id="20" w:name="payment-receipt-إيصال-استلام-دفعة"/>
      <w:r>
        <w:t xml:space="preserve">PAYMENT RECEIPT — إيصال استلام دفعة</w:t>
      </w:r>
      <w:bookmarkEnd w:id="20"/>
    </w:p>
    <w:tbl>
      <w:tblPr>
        <w:tblStyle w:val="Table"/>
        <w:tblW w:type="pct" w:w="0.0"/>
        <w:tblLook w:firstRow="0"/>
      </w:tblPr>
      <w:tblGrid/>
      <w:tr>
        <w:tc>
          <w:p>
            <w:pPr>
              <w:pStyle w:val="Compact"/>
              <w:jc w:val="left"/>
            </w:pPr>
            <w:r>
              <w:t xml:space="preserve">Receipt No.</w:t>
            </w:r>
          </w:p>
        </w:tc>
        <w:tc>
          <w:p>
            <w:pPr>
              <w:pStyle w:val="Compact"/>
              <w:jc w:val="left"/>
            </w:pPr>
            <w:r>
              <w:t xml:space="preserve">DX-2026-012</w:t>
            </w:r>
          </w:p>
        </w:tc>
      </w:tr>
      <w:tr>
        <w:tc>
          <w:p>
            <w:pPr>
              <w:pStyle w:val="Compact"/>
              <w:jc w:val="left"/>
            </w:pPr>
            <w:r>
              <w:t xml:space="preserve">Date</w:t>
            </w:r>
          </w:p>
        </w:tc>
        <w:tc>
          <w:p>
            <w:pPr>
              <w:pStyle w:val="Compact"/>
              <w:jc w:val="left"/>
            </w:pPr>
            <w:r>
              <w:t xml:space="preserve">24 August 2026</w:t>
            </w:r>
          </w:p>
        </w:tc>
      </w:tr>
      <w:tr>
        <w:tc>
          <w:p>
            <w:pPr>
              <w:pStyle w:val="Compact"/>
              <w:jc w:val="left"/>
            </w:pPr>
            <w:r>
              <w:t xml:space="preserve">Amount received</w:t>
            </w:r>
          </w:p>
        </w:tc>
        <w:tc>
          <w:p>
            <w:pPr>
              <w:pStyle w:val="Compact"/>
              <w:jc w:val="left"/>
            </w:pPr>
            <w:r>
              <w:t xml:space="preserve">KWD 450.000</w:t>
            </w:r>
          </w:p>
        </w:tc>
      </w:tr>
    </w:tbl>
    <w:p>
      <w:pPr>
        <w:pStyle w:val="Heading2"/>
      </w:pPr>
      <w:bookmarkStart w:id="21" w:name="amount-in-words"/>
      <w:r>
        <w:t xml:space="preserve">Amount in words</w:t>
      </w:r>
      <w:bookmarkEnd w:id="21"/>
    </w:p>
    <w:p>
      <w:pPr>
        <w:pStyle w:val="Heading2"/>
      </w:pPr>
      <w:bookmarkStart w:id="22" w:name="المبلغ-كتابة"/>
      <w:r>
        <w:t xml:space="preserve">المبلغ كتابةً</w:t>
      </w:r>
      <w:bookmarkEnd w:id="22"/>
    </w:p>
    <w:p>
      <w:pPr>
        <w:pStyle w:val="FirstParagraph"/>
      </w:pPr>
      <w:r>
        <w:rPr>
          <w:b/>
        </w:rPr>
        <w:t xml:space="preserve">Four hundred fifty Kuwaiti Dinars only</w:t>
      </w:r>
    </w:p>
    <w:p>
      <w:pPr>
        <w:pStyle w:val="BodyText"/>
      </w:pPr>
      <w:r>
        <w:rPr>
          <w:b/>
        </w:rPr>
        <w:t xml:space="preserve">أربعمائة وخمسون ديناراً كويتياً لا غير</w:t>
      </w:r>
    </w:p>
    <w:p>
      <w:pPr>
        <w:pStyle w:val="Heading2"/>
      </w:pPr>
      <w:bookmarkStart w:id="23" w:name="issued-by"/>
      <w:r>
        <w:t xml:space="preserve">Issued by</w:t>
      </w:r>
      <w:bookmarkEnd w:id="23"/>
    </w:p>
    <w:p>
      <w:pPr>
        <w:pStyle w:val="Heading2"/>
      </w:pPr>
      <w:bookmarkStart w:id="24" w:name="صادر-عن"/>
      <w:r>
        <w:t xml:space="preserve">صادر عن</w:t>
      </w:r>
      <w:bookmarkEnd w:id="24"/>
    </w:p>
    <w:tbl>
      <w:tblPr>
        <w:tblStyle w:val="Table"/>
        <w:tblW w:type="pct" w:w="0.0"/>
        <w:tblLook w:firstRow="0"/>
      </w:tblPr>
      <w:tblGrid/>
      <w:tr>
        <w:tc>
          <w:p>
            <w:pPr>
              <w:pStyle w:val="Compact"/>
              <w:jc w:val="left"/>
            </w:pPr>
            <w:r>
              <w:t xml:space="preserve">Legal name</w:t>
            </w:r>
          </w:p>
        </w:tc>
        <w:tc>
          <w:p>
            <w:pPr>
              <w:pStyle w:val="Compact"/>
              <w:jc w:val="left"/>
            </w:pPr>
            <w:r>
              <w:t xml:space="preserve">Dexor Integrated Computer Solutions Co. W.L.L.</w:t>
            </w:r>
          </w:p>
        </w:tc>
      </w:tr>
      <w:tr>
        <w:tc>
          <w:p>
            <w:pPr>
              <w:pStyle w:val="Compact"/>
              <w:jc w:val="left"/>
            </w:pPr>
            <w:r>
              <w:t xml:space="preserve">Legal form</w:t>
            </w:r>
          </w:p>
        </w:tc>
        <w:tc>
          <w:p>
            <w:pPr>
              <w:pStyle w:val="Compact"/>
              <w:jc w:val="left"/>
            </w:pPr>
            <w:r>
              <w:t xml:space="preserve">Limited Liability Company (W.L.L.)</w:t>
            </w:r>
          </w:p>
        </w:tc>
      </w:tr>
      <w:tr>
        <w:tc>
          <w:p>
            <w:pPr>
              <w:pStyle w:val="Compact"/>
              <w:jc w:val="left"/>
            </w:pPr>
            <w:r>
              <w:t xml:space="preserve">Commercial register</w:t>
            </w:r>
          </w:p>
        </w:tc>
        <w:tc>
          <w:p>
            <w:pPr>
              <w:pStyle w:val="Compact"/>
              <w:jc w:val="left"/>
            </w:pPr>
            <w:r>
              <w:t xml:space="preserve">551952</w:t>
            </w:r>
          </w:p>
        </w:tc>
      </w:tr>
      <w:tr>
        <w:tc>
          <w:p>
            <w:pPr>
              <w:pStyle w:val="Compact"/>
              <w:jc w:val="left"/>
            </w:pPr>
            <w:r>
              <w:t xml:space="preserve">Trade licence</w:t>
            </w:r>
          </w:p>
        </w:tc>
        <w:tc>
          <w:p>
            <w:pPr>
              <w:pStyle w:val="Compact"/>
              <w:jc w:val="left"/>
            </w:pPr>
            <w:r>
              <w:t xml:space="preserve">2026/14049</w:t>
            </w:r>
          </w:p>
        </w:tc>
      </w:tr>
      <w:tr>
        <w:tc>
          <w:p>
            <w:pPr>
              <w:pStyle w:val="Compact"/>
              <w:jc w:val="left"/>
            </w:pPr>
            <w:r>
              <w:t xml:space="preserve">Registered address</w:t>
            </w:r>
          </w:p>
        </w:tc>
        <w:tc>
          <w:p>
            <w:pPr>
              <w:pStyle w:val="Compact"/>
              <w:jc w:val="left"/>
            </w:pPr>
            <w:r>
              <w:t xml:space="preserve">Al Salam Tower (Awqaf Bldg. 2405), 16th Floor, Office 8 — Fahad Al-Salem Street, Qibla, Capital Governorate, Kuwait City</w:t>
            </w:r>
          </w:p>
        </w:tc>
      </w:tr>
      <w:tr>
        <w:tc>
          <w:p>
            <w:pPr>
              <w:pStyle w:val="Compact"/>
              <w:jc w:val="left"/>
            </w:pPr>
            <w:r>
              <w:t xml:space="preserve">Contact</w:t>
            </w:r>
          </w:p>
        </w:tc>
        <w:tc>
          <w:p>
            <w:pPr>
              <w:pStyle w:val="Compact"/>
              <w:jc w:val="left"/>
            </w:pPr>
            <w:r>
              <w:t xml:space="preserve">+20 15 501 42 885 · info@dexor.ae · www.dexor.ae</w:t>
            </w:r>
          </w:p>
        </w:tc>
      </w:tr>
      <w:tr>
        <w:tc>
          <w:p>
            <w:pPr>
              <w:pStyle w:val="Compact"/>
              <w:jc w:val="left"/>
            </w:pPr>
            <w:r>
              <w:t xml:space="preserve">Country</w:t>
            </w:r>
          </w:p>
        </w:tc>
        <w:tc>
          <w:p>
            <w:pPr>
              <w:pStyle w:val="Compact"/>
              <w:jc w:val="left"/>
            </w:pPr>
            <w:r>
              <w:t xml:space="preserve">Kuwait</w:t>
            </w:r>
          </w:p>
        </w:tc>
      </w:tr>
    </w:tbl>
    <w:p>
      <w:pPr>
        <w:pStyle w:val="BodyText"/>
      </w:pPr>
      <w:r>
        <w:t xml:space="preserve">شركة ديكسور للحلول المتكاملة الحاسوبية ذ.م.م — شركة ذات مسؤولية محدودة (ذ.م.م) · السجل التجاري 551952 · الرخصة 2026/14049 · برج السلام (مبنى وزارة الأوقاف رقم 2405)، الدور 16، مكتب 8 — شارع فهد السالم، القبلة، محافظة العاصمة، مدينة الكويت · الكويت</w:t>
      </w:r>
    </w:p>
    <w:p>
      <w:pPr>
        <w:pStyle w:val="Heading2"/>
      </w:pPr>
      <w:bookmarkStart w:id="25" w:name="received-from"/>
      <w:r>
        <w:t xml:space="preserve">Received from</w:t>
      </w:r>
      <w:bookmarkEnd w:id="25"/>
    </w:p>
    <w:p>
      <w:pPr>
        <w:pStyle w:val="Heading2"/>
      </w:pPr>
      <w:bookmarkStart w:id="26" w:name="المستلم-من"/>
      <w:r>
        <w:t xml:space="preserve">المستلَم من</w:t>
      </w:r>
      <w:bookmarkEnd w:id="26"/>
    </w:p>
    <w:tbl>
      <w:tblPr>
        <w:tblStyle w:val="Table"/>
        <w:tblW w:type="pct" w:w="0.0"/>
        <w:tblLook w:firstRow="0"/>
      </w:tblPr>
      <w:tblGrid/>
      <w:tr>
        <w:tc>
          <w:p>
            <w:pPr>
              <w:pStyle w:val="Compact"/>
              <w:jc w:val="left"/>
            </w:pPr>
            <w:r>
              <w:t xml:space="preserve">Client</w:t>
            </w:r>
          </w:p>
        </w:tc>
        <w:tc>
          <w:p>
            <w:pPr>
              <w:pStyle w:val="Compact"/>
              <w:jc w:val="left"/>
            </w:pPr>
            <w:r>
              <w:t xml:space="preserve">Active Solutions Smart Automation, Kuwait</w:t>
            </w:r>
          </w:p>
        </w:tc>
      </w:tr>
      <w:tr>
        <w:tc>
          <w:p>
            <w:pPr>
              <w:pStyle w:val="Compact"/>
              <w:jc w:val="left"/>
            </w:pPr>
            <w:r>
              <w:t xml:space="preserve">Client (Arabic)</w:t>
            </w:r>
          </w:p>
        </w:tc>
        <w:tc>
          <w:p>
            <w:pPr>
              <w:pStyle w:val="Compact"/>
              <w:jc w:val="left"/>
            </w:pPr>
            <w:r>
              <w:t xml:space="preserve">أﻛﺘﻴﻒ ﺳﻮﻟﻴﻮﺷﲋ ﻟﻸﺗﻤﺘﺔ اﻟﺬﻛﻴﺔ، اﻟﻜﻮﻳﺖ</w:t>
            </w:r>
          </w:p>
        </w:tc>
      </w:tr>
      <w:tr>
        <w:tc>
          <w:p>
            <w:pPr>
              <w:pStyle w:val="Compact"/>
              <w:jc w:val="left"/>
            </w:pPr>
            <w:r>
              <w:t xml:space="preserve">Paid by</w:t>
            </w:r>
          </w:p>
        </w:tc>
        <w:tc>
          <w:p>
            <w:pPr>
              <w:pStyle w:val="Compact"/>
              <w:jc w:val="left"/>
            </w:pPr>
            <w:r>
              <w:t xml:space="preserve">Mr. wael</w:t>
            </w:r>
          </w:p>
        </w:tc>
      </w:tr>
    </w:tbl>
    <w:p>
      <w:pPr>
        <w:pStyle w:val="Heading2"/>
      </w:pPr>
      <w:bookmarkStart w:id="27" w:name="payment"/>
      <w:r>
        <w:t xml:space="preserve">Payment</w:t>
      </w:r>
      <w:bookmarkEnd w:id="27"/>
    </w:p>
    <w:p>
      <w:pPr>
        <w:pStyle w:val="Heading2"/>
      </w:pPr>
      <w:bookmarkStart w:id="28" w:name="تفاصيل-الدفع"/>
      <w:r>
        <w:t xml:space="preserve">تفاصيل الدفع</w:t>
      </w:r>
      <w:bookmarkEnd w:id="28"/>
    </w:p>
    <w:tbl>
      <w:tblPr>
        <w:tblStyle w:val="Table"/>
        <w:tblW w:type="pct" w:w="0.0"/>
        <w:tblLook w:firstRow="0"/>
      </w:tblPr>
      <w:tblGrid/>
      <w:tr>
        <w:tc>
          <w:p>
            <w:pPr>
              <w:pStyle w:val="Compact"/>
              <w:jc w:val="left"/>
            </w:pPr>
            <w:r>
              <w:t xml:space="preserve">Method</w:t>
            </w:r>
          </w:p>
        </w:tc>
        <w:tc>
          <w:p>
            <w:pPr>
              <w:pStyle w:val="Compact"/>
              <w:jc w:val="left"/>
            </w:pPr>
            <w:r>
              <w:t xml:space="preserve">Bank transfer</w:t>
            </w:r>
          </w:p>
        </w:tc>
      </w:tr>
      <w:tr>
        <w:tc>
          <w:p>
            <w:pPr>
              <w:pStyle w:val="Compact"/>
              <w:jc w:val="left"/>
            </w:pPr>
            <w:r>
              <w:t xml:space="preserve">Details</w:t>
            </w:r>
          </w:p>
        </w:tc>
        <w:tc>
          <w:p>
            <w:pPr>
              <w:pStyle w:val="Compact"/>
              <w:jc w:val="left"/>
            </w:pPr>
            <w:r>
              <w:t xml:space="preserve">•••• 5001</w:t>
            </w:r>
          </w:p>
        </w:tc>
      </w:tr>
      <w:tr>
        <w:tc>
          <w:p>
            <w:pPr>
              <w:pStyle w:val="Compact"/>
              <w:jc w:val="left"/>
            </w:pPr>
            <w:r>
              <w:t xml:space="preserve">Against quotation</w:t>
            </w:r>
          </w:p>
        </w:tc>
        <w:tc>
          <w:p>
            <w:pPr>
              <w:pStyle w:val="Compact"/>
              <w:jc w:val="left"/>
            </w:pPr>
            <w:r>
              <w:t xml:space="preserve">SA-2026-AS-001</w:t>
            </w:r>
          </w:p>
        </w:tc>
      </w:tr>
      <w:tr>
        <w:tc>
          <w:p>
            <w:pPr>
              <w:pStyle w:val="Compact"/>
              <w:jc w:val="left"/>
            </w:pPr>
            <w:r>
              <w:t xml:space="preserve">Against contract</w:t>
            </w:r>
          </w:p>
        </w:tc>
        <w:tc>
          <w:p>
            <w:pPr>
              <w:pStyle w:val="Compact"/>
              <w:jc w:val="left"/>
            </w:pPr>
            <w:r>
              <w:t xml:space="preserve">DX-2026-012</w:t>
            </w:r>
          </w:p>
        </w:tc>
      </w:tr>
      <w:tr>
        <w:tc>
          <w:p>
            <w:pPr>
              <w:pStyle w:val="Compact"/>
              <w:jc w:val="left"/>
            </w:pPr>
            <w:r>
              <w:t xml:space="preserve">Instalment / milestone</w:t>
            </w:r>
          </w:p>
        </w:tc>
        <w:tc>
          <w:p>
            <w:pPr>
              <w:pStyle w:val="Compact"/>
              <w:jc w:val="left"/>
            </w:pPr>
            <w:r>
              <w:t xml:space="preserve">instalment 1 of 4</w:t>
            </w:r>
          </w:p>
        </w:tc>
      </w:tr>
      <w:tr>
        <w:tc>
          <w:p>
            <w:pPr>
              <w:pStyle w:val="Compact"/>
              <w:jc w:val="left"/>
            </w:pPr>
            <w:r>
              <w:t xml:space="preserve">Project / scope</w:t>
            </w:r>
          </w:p>
        </w:tc>
        <w:tc>
          <w:p>
            <w:pPr>
              <w:pStyle w:val="Compact"/>
              <w:jc w:val="left"/>
            </w:pPr>
            <w:r>
              <w:t xml:space="preserve">Odoo ERP _ CRM,Sales,Purchase,Inventory,Projects,Field Service,Accounting,Human Resources,Quality Dashboards, AI Assistant</w:t>
            </w:r>
          </w:p>
        </w:tc>
      </w:tr>
    </w:tbl>
    <w:p>
      <w:pPr>
        <w:pStyle w:val="Heading2"/>
      </w:pPr>
      <w:bookmarkStart w:id="29" w:name="in-payment-of"/>
      <w:r>
        <w:t xml:space="preserve">In payment of</w:t>
      </w:r>
      <w:bookmarkEnd w:id="29"/>
    </w:p>
    <w:p>
      <w:pPr>
        <w:pStyle w:val="Heading2"/>
      </w:pPr>
      <w:bookmarkStart w:id="30" w:name="وذلك-مقابل"/>
      <w:r>
        <w:t xml:space="preserve">وذلك مقابل</w:t>
      </w:r>
      <w:bookmarkEnd w:id="30"/>
    </w:p>
    <w:p>
      <w:pPr>
        <w:pStyle w:val="FirstParagraph"/>
      </w:pPr>
      <w:r>
        <w:t xml:space="preserve">First instalment against the Odoo ERP implementation agreement configuration and development phase completed and accepted</w:t>
      </w:r>
    </w:p>
    <w:p>
      <w:pPr>
        <w:pStyle w:val="Heading2"/>
      </w:pPr>
      <w:bookmarkStart w:id="31" w:name="account-position"/>
      <w:r>
        <w:t xml:space="preserve">Account position</w:t>
      </w:r>
      <w:bookmarkEnd w:id="31"/>
    </w:p>
    <w:p>
      <w:pPr>
        <w:pStyle w:val="Heading2"/>
      </w:pPr>
      <w:bookmarkStart w:id="32" w:name="الموقف-الحسابي"/>
      <w:r>
        <w:t xml:space="preserve">الموقف الحسابي</w:t>
      </w:r>
      <w:bookmarkEnd w:id="32"/>
    </w:p>
    <w:tbl>
      <w:tblPr>
        <w:tblStyle w:val="Table"/>
        <w:tblW w:type="pct" w:w="0.0"/>
        <w:tblLook w:firstRow="0"/>
      </w:tblPr>
      <w:tblGrid/>
      <w:tr>
        <w:tc>
          <w:p>
            <w:pPr>
              <w:pStyle w:val="Compact"/>
              <w:jc w:val="left"/>
            </w:pPr>
            <w:r>
              <w:t xml:space="preserve">Total value of the engagement (KWD)</w:t>
            </w:r>
          </w:p>
        </w:tc>
        <w:tc>
          <w:p>
            <w:pPr>
              <w:pStyle w:val="Compact"/>
              <w:jc w:val="left"/>
            </w:pPr>
            <w:r>
              <w:t xml:space="preserve">1,800.000</w:t>
            </w:r>
          </w:p>
        </w:tc>
      </w:tr>
      <w:tr>
        <w:tc>
          <w:p>
            <w:pPr>
              <w:pStyle w:val="Compact"/>
              <w:jc w:val="left"/>
            </w:pPr>
            <w:r>
              <w:t xml:space="preserve">Previously received (KWD)</w:t>
            </w:r>
          </w:p>
        </w:tc>
        <w:tc>
          <w:p>
            <w:pPr>
              <w:pStyle w:val="Compact"/>
              <w:jc w:val="left"/>
            </w:pPr>
            <w:r>
              <w:t xml:space="preserve">0.000</w:t>
            </w:r>
          </w:p>
        </w:tc>
      </w:tr>
      <w:tr>
        <w:tc>
          <w:p>
            <w:pPr>
              <w:pStyle w:val="Compact"/>
              <w:jc w:val="left"/>
            </w:pPr>
            <w:r>
              <w:t xml:space="preserve">Received against this receipt (KWD)</w:t>
            </w:r>
          </w:p>
        </w:tc>
        <w:tc>
          <w:p>
            <w:pPr>
              <w:pStyle w:val="Compact"/>
              <w:jc w:val="left"/>
            </w:pPr>
            <w:r>
              <w:t xml:space="preserve">450.000</w:t>
            </w:r>
          </w:p>
        </w:tc>
      </w:tr>
      <w:tr>
        <w:tc>
          <w:p>
            <w:pPr>
              <w:pStyle w:val="Compact"/>
              <w:jc w:val="left"/>
            </w:pPr>
            <w:r>
              <w:t xml:space="preserve">Balance remaining (KWD)</w:t>
            </w:r>
          </w:p>
        </w:tc>
        <w:tc>
          <w:p>
            <w:pPr>
              <w:pStyle w:val="Compact"/>
              <w:jc w:val="left"/>
            </w:pPr>
            <w:r>
              <w:t xml:space="preserve">1,350.000</w:t>
            </w:r>
          </w:p>
        </w:tc>
      </w:tr>
    </w:tbl>
    <w:p>
      <w:pPr>
        <w:pStyle w:val="Heading2"/>
      </w:pPr>
      <w:bookmarkStart w:id="33" w:name="declaration"/>
      <w:r>
        <w:t xml:space="preserve">Declaration</w:t>
      </w:r>
      <w:bookmarkEnd w:id="33"/>
    </w:p>
    <w:p>
      <w:pPr>
        <w:pStyle w:val="Heading2"/>
      </w:pPr>
      <w:bookmarkStart w:id="34" w:name="إقرار"/>
      <w:r>
        <w:t xml:space="preserve">إقرار</w:t>
      </w:r>
      <w:bookmarkEnd w:id="34"/>
    </w:p>
    <w:p>
      <w:pPr>
        <w:pStyle w:val="FirstParagraph"/>
      </w:pPr>
      <w:r>
        <w:t xml:space="preserve">This receipt acknowledges the amount stated above and is issued without prejudice to any other sum due under the related quotation, contract or invoice. It is valid only when signed and stamped by Dexor Integrated Computer Solutions Co. W.L.L.. Cheques and transfers are acknowledged subject to final clearance by the bank.</w:t>
      </w:r>
    </w:p>
    <w:p>
      <w:pPr>
        <w:pStyle w:val="BodyText"/>
      </w:pPr>
      <w:r>
        <w:t xml:space="preserve">يُقرّ هذا الإيصال باستلام المبلغ المبيّن أعلاه، ولا يخلّ ذلك بأي مبالغ أخرى مستحقة بموجب عرض السعر أو العقد أو الفاتورة ذات الصلة. ولا يُعدّ هذا الإيصال صحيحاً إلا إذا كان موقّعاً ومختوماً من شركة ديكسور للحلول المتكاملة الحاسوبية ذ.م.م، ويُعتبر استلام الشيكات والحوالات مشروطاً بتحصيلها فعلياً من البنك.</w:t>
      </w:r>
    </w:p>
    <w:p>
      <w:pPr>
        <w:pStyle w:val="Heading2"/>
      </w:pPr>
      <w:bookmarkStart w:id="35" w:name="X0b8ab8e747a6c0129b5a3c298f2ccd56c273d86"/>
      <w:r>
        <w:t xml:space="preserve">Received and acknowledged for the company</w:t>
      </w:r>
      <w:bookmarkEnd w:id="35"/>
    </w:p>
    <w:p>
      <w:pPr>
        <w:pStyle w:val="Heading2"/>
      </w:pPr>
      <w:bookmarkStart w:id="36" w:name="استلم-وأقر-عن-الشركة"/>
      <w:r>
        <w:t xml:space="preserve">استُلم وأُقرّ عن الشركة</w:t>
      </w:r>
      <w:bookmarkEnd w:id="36"/>
    </w:p>
    <w:p>
      <w:pPr>
        <w:pStyle w:val="FirstParagraph"/>
      </w:pPr>
      <w:r>
        <w:rPr>
          <w:b/>
        </w:rPr>
        <w:t xml:space="preserve">Eng. Hisham</w:t>
      </w:r>
      <w:r>
        <w:br/>
      </w:r>
      <w:r>
        <w:t xml:space="preserve">Authorised signatory · Dexor Integrated Computer Solutions Co. W.L.L.</w:t>
      </w:r>
      <w:r>
        <w:br/>
      </w:r>
      <w:r>
        <w:t xml:space="preserve">Date: 24 August 2026 · Receipt DX-2026-012</w:t>
      </w:r>
    </w:p>
    <w:p>
      <w:pPr>
        <w:pStyle w:val="BodyText"/>
      </w:pPr>
      <w:r>
        <w:rPr>
          <w:b/>
        </w:rPr>
        <w:t xml:space="preserve">المهندس هشام</w:t>
      </w:r>
      <w:r>
        <w:br/>
      </w:r>
      <w:r>
        <w:t xml:space="preserve">المفوّض بالتوقيع · شركة ديكسور للحلول المتكاملة الحاسوبية ذ.م.م</w:t>
      </w:r>
      <w:r>
        <w:br/>
      </w:r>
      <w:r>
        <w:t xml:space="preserve">التاريخ: 24 أغسطس 2026 · إيصال رقم DX-2026-012</w:t>
      </w:r>
    </w:p>
    <w:sectPr w:rsidR="00FC693F" w:rsidRPr="0006063C" w:rsidSect="00034616">
      <w:pgSz w:w="12240" w:h="15840"/>
      <w:pgMar w:top="1296" w:right="1368" w:bottom="1296" w:left="1368" w:header="720" w:footer="720" w:gutter="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spacing w:after="140" w:line="269" w:lineRule="auto"/>
    </w:pPr>
    <w:rPr>
      <w:rFonts w:ascii="Calibri" w:hAnsi="Calibri"/>
      <w:color w:val="1A223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Theme="majorHAnsi" w:eastAsiaTheme="majorEastAsia" w:hAnsiTheme="majorHAnsi" w:cstheme="majorBidi" w:ascii="Georgia" w:hAnsi="Georgia"/>
      <w:b/>
      <w:bCs/>
      <w:color w:val="051C3C"/>
      <w:sz w:val="32"/>
      <w:szCs w:val="28"/>
    </w:rPr>
  </w:style>
  <w:style w:type="paragraph" w:styleId="Heading2">
    <w:name w:val="heading 2"/>
    <w:basedOn w:val="Normal"/>
    <w:next w:val="Normal"/>
    <w:link w:val="Heading2Char"/>
    <w:uiPriority w:val="9"/>
    <w:unhideWhenUsed/>
    <w:qFormat/>
    <w:rsid w:val="00FC693F"/>
    <w:pPr>
      <w:keepNext/>
      <w:keepLines/>
      <w:spacing w:before="260" w:after="100"/>
      <w:outlineLvl w:val="1"/>
    </w:pPr>
    <w:rPr>
      <w:rFonts w:asciiTheme="majorHAnsi" w:eastAsiaTheme="majorEastAsia" w:hAnsiTheme="majorHAnsi" w:cstheme="majorBidi" w:ascii="Georgia" w:hAnsi="Georgia"/>
      <w:b/>
      <w:bCs/>
      <w:color w:val="051C3C"/>
      <w:sz w:val="26"/>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Calibri" w:hAnsi="Calibri"/>
      <w:b/>
      <w:bCs/>
      <w:color w:val="051C3C"/>
      <w:sz w:val="23"/>
    </w:rPr>
  </w:style>
  <w:style w:type="paragraph" w:styleId="Heading4">
    <w:name w:val="heading 4"/>
    <w:basedOn w:val="Normal"/>
    <w:next w:val="Normal"/>
    <w:link w:val="Heading4Char"/>
    <w:uiPriority w:val="9"/>
    <w:semiHidden/>
    <w:unhideWhenUsed/>
    <w:qFormat/>
    <w:rsid w:val="00FC693F"/>
    <w:pPr>
      <w:keepNext/>
      <w:keepLines/>
      <w:spacing w:before="160" w:after="60"/>
      <w:outlineLvl w:val="3"/>
    </w:pPr>
    <w:rPr>
      <w:rFonts w:asciiTheme="majorHAnsi" w:eastAsiaTheme="majorEastAsia" w:hAnsiTheme="majorHAnsi" w:cstheme="majorBidi" w:ascii="Calibri" w:hAnsi="Calibri"/>
      <w:b/>
      <w:bCs/>
      <w:i/>
      <w:iCs/>
      <w:color w:val="5D627A"/>
      <w:sz w:val="21"/>
    </w:rPr>
  </w:style>
  <w:style w:type="paragraph" w:styleId="Heading5">
    <w:name w:val="heading 5"/>
    <w:basedOn w:val="Normal"/>
    <w:next w:val="Normal"/>
    <w:link w:val="Heading5Char"/>
    <w:uiPriority w:val="9"/>
    <w:semiHidden/>
    <w:unhideWhenUsed/>
    <w:qFormat/>
    <w:rsid w:val="00FC693F"/>
    <w:pPr>
      <w:keepNext/>
      <w:keepLines/>
      <w:spacing w:before="160" w:after="60"/>
      <w:outlineLvl w:val="4"/>
    </w:pPr>
    <w:rPr>
      <w:rFonts w:asciiTheme="majorHAnsi" w:eastAsiaTheme="majorEastAsia" w:hAnsiTheme="majorHAnsi" w:cstheme="majorBidi" w:ascii="Calibri" w:hAnsi="Calibri"/>
      <w:b/>
      <w:color w:val="5D627A"/>
      <w:sz w:val="21"/>
    </w:rPr>
  </w:style>
  <w:style w:type="paragraph" w:styleId="Heading6">
    <w:name w:val="heading 6"/>
    <w:basedOn w:val="Normal"/>
    <w:next w:val="Normal"/>
    <w:link w:val="Heading6Char"/>
    <w:uiPriority w:val="9"/>
    <w:semiHidden/>
    <w:unhideWhenUsed/>
    <w:qFormat/>
    <w:rsid w:val="00FC693F"/>
    <w:pPr>
      <w:keepNext/>
      <w:keepLines/>
      <w:spacing w:before="160" w:after="60"/>
      <w:outlineLvl w:val="5"/>
    </w:pPr>
    <w:rPr>
      <w:rFonts w:asciiTheme="majorHAnsi" w:eastAsiaTheme="majorEastAsia" w:hAnsiTheme="majorHAnsi" w:cstheme="majorBidi" w:ascii="Calibri" w:hAnsi="Calibri"/>
      <w:b/>
      <w:i/>
      <w:iCs/>
      <w:color w:val="5D627A"/>
      <w:sz w:val="21"/>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val="0"/>
      <w:pBdr>
        <w:bottom w:val="single" w:sz="8" w:space="4" w:color="4F81BD" w:themeColor="accent1"/>
      </w:pBdr>
      <w:spacing w:after="80" w:line="240" w:lineRule="auto"/>
      <w:contextualSpacing/>
      <w:jc w:val="left"/>
    </w:pPr>
    <w:rPr>
      <w:rFonts w:asciiTheme="majorHAnsi" w:eastAsiaTheme="majorEastAsia" w:hAnsiTheme="majorHAnsi" w:cstheme="majorBidi" w:ascii="Georgia" w:hAnsi="Georgia"/>
      <w:b/>
      <w:color w:val="051C3C"/>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val="0"/>
      <w:numPr>
        <w:ilvl w:val="1"/>
      </w:numPr>
      <w:spacing w:after="200"/>
    </w:pPr>
    <w:rPr>
      <w:rFonts w:asciiTheme="majorHAnsi" w:eastAsiaTheme="majorEastAsia" w:hAnsiTheme="majorHAnsi" w:cstheme="majorBidi" w:ascii="Calibri" w:hAnsi="Calibri"/>
      <w:b w:val="0"/>
      <w:i/>
      <w:iCs/>
      <w:color w:val="5D627A"/>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keepNext w:val="0"/>
    </w:pPr>
    <w:rPr>
      <w:rFonts w:ascii="Calibri" w:hAnsi="Calibri"/>
      <w:i/>
      <w:iCs/>
      <w:color w:val="5D627A"/>
      <w:sz w:val="2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DX-2026-012</dc:title>
  <dc:creator/>
  <cp:keywords/>
  <dcterms:created xsi:type="dcterms:W3CDTF">2026-08-23T16:09:21Z</dcterms:created>
  <dcterms:modified xsi:type="dcterms:W3CDTF">2026-08-23T16:09:21Z</dcterms:modified>
</cp:coreProperties>
</file>

<file path=docProps/custom.xml><?xml version="1.0" encoding="utf-8"?>
<Properties xmlns="http://schemas.openxmlformats.org/officeDocument/2006/custom-properties" xmlns:vt="http://schemas.openxmlformats.org/officeDocument/2006/docPropsVTypes"/>
</file>