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عرض</w:t>
      </w:r>
      <w:r>
        <w:t xml:space="preserve"> </w:t>
      </w:r>
      <w:r>
        <w:t xml:space="preserve">سعر</w:t>
      </w:r>
      <w:r>
        <w:t xml:space="preserve"> </w:t>
      </w:r>
      <w:r>
        <w:t xml:space="preserve">ديكسور</w:t>
      </w:r>
      <w:r>
        <w:t xml:space="preserve"> </w:t>
      </w:r>
      <w:r>
        <w:t xml:space="preserve">—</w:t>
      </w:r>
      <w:r>
        <w:t xml:space="preserve"> </w:t>
      </w:r>
      <w:r>
        <w:t xml:space="preserve">شركة</w:t>
      </w:r>
      <w:r>
        <w:t xml:space="preserve"> </w:t>
      </w:r>
      <w:r>
        <w:t xml:space="preserve">لؤلؤة</w:t>
      </w:r>
      <w:r>
        <w:t xml:space="preserve"> </w:t>
      </w:r>
      <w:r>
        <w:t xml:space="preserve">الشايع</w:t>
      </w:r>
      <w:r>
        <w:t xml:space="preserve"> </w:t>
      </w:r>
      <w:r>
        <w:t xml:space="preserve">—</w:t>
      </w:r>
      <w:r>
        <w:t xml:space="preserve"> </w:t>
      </w:r>
      <w:r>
        <w:t xml:space="preserve">QT-2026-0812-001</w:t>
      </w:r>
    </w:p>
    <w:p>
      <w:pPr>
        <w:pStyle w:val="Heading1"/>
      </w:pPr>
      <w:bookmarkStart w:id="20" w:name="Xb320bbe6c87c865b013e80a30fc44ae1857fba3"/>
      <w:r>
        <w:t xml:space="preserve">عرض سعر — تنفيذ نظام Odoo ERP لشركة لؤلؤة الشايع</w:t>
      </w:r>
      <w:bookmarkEnd w:id="20"/>
    </w:p>
    <w:p>
      <w:pPr>
        <w:pStyle w:val="FirstParagraph"/>
      </w:pPr>
      <w:r>
        <w:rPr>
          <w:b/>
        </w:rPr>
        <w:t xml:space="preserve">مرجع عرض السعر:</w:t>
      </w:r>
      <w:r>
        <w:t xml:space="preserve"> </w:t>
      </w:r>
      <w:r>
        <w:t xml:space="preserve">QT-2026-0812-001</w:t>
      </w:r>
    </w:p>
    <w:p>
      <w:pPr>
        <w:pStyle w:val="BodyText"/>
      </w:pPr>
      <w:r>
        <w:rPr>
          <w:b/>
        </w:rPr>
        <w:t xml:space="preserve">التاريخ:</w:t>
      </w:r>
      <w:r>
        <w:t xml:space="preserve"> </w:t>
      </w:r>
      <w:r>
        <w:t xml:space="preserve">19 أغسطس 2026  | </w:t>
      </w:r>
      <w:r>
        <w:t xml:space="preserve"> </w:t>
      </w:r>
      <w:r>
        <w:rPr>
          <w:b/>
        </w:rPr>
        <w:t xml:space="preserve">صالح حتى:</w:t>
      </w:r>
      <w:r>
        <w:t xml:space="preserve"> </w:t>
      </w:r>
      <w:r>
        <w:t xml:space="preserve">27 أغسطس 2026</w:t>
      </w:r>
    </w:p>
    <w:p>
      <w:pPr>
        <w:pStyle w:val="BodyText"/>
      </w:pPr>
      <w:r>
        <w:rPr>
          <w:b/>
        </w:rPr>
        <w:t xml:space="preserve">أُعدّ لصالح:</w:t>
      </w:r>
      <w:r>
        <w:t xml:space="preserve"> </w:t>
      </w:r>
      <w:r>
        <w:t xml:space="preserve">شركة لؤلؤة الشايع — المقاولات العامة والإنشاءات، دولة الكويت</w:t>
      </w:r>
    </w:p>
    <w:p>
      <w:pPr>
        <w:pStyle w:val="BodyText"/>
      </w:pPr>
      <w:r>
        <w:rPr>
          <w:b/>
        </w:rPr>
        <w:t xml:space="preserve">مُقدَّم من:</w:t>
      </w:r>
      <w:r>
        <w:t xml:space="preserve"> </w:t>
      </w:r>
      <w:r>
        <w:t xml:space="preserve">شركة ديكسور للحلول المتكاملة الحاسوبية ذ.م.م. — شريك أودو المعتمد، أخصائي تنفيذ معتمد</w:t>
      </w:r>
    </w:p>
    <w:p>
      <w:pPr>
        <w:pStyle w:val="BodyText"/>
      </w:pPr>
      <w:r>
        <w:t xml:space="preserve">info@dexor.ae  |  +20 15 501 42 885  |  www.dexor.ae</w:t>
      </w:r>
    </w:p>
    <w:p>
      <w:pPr>
        <w:pStyle w:val="Heading2"/>
      </w:pPr>
      <w:bookmarkStart w:id="21" w:name="ملخص-العرض"/>
      <w:r>
        <w:t xml:space="preserve">ملخص العرض</w:t>
      </w:r>
      <w:bookmarkEnd w:id="21"/>
    </w:p>
    <w:p>
      <w:pPr>
        <w:pStyle w:val="FirstParagraph"/>
      </w:pPr>
      <w:r>
        <w:t xml:space="preserve">يقدّم هذا العرض تنفيذ نظام Odoo 18 ERP متكامل لشركة لؤلؤة الشايع، مصمَّم حول متطلب واحد حاكم:</w:t>
      </w:r>
      <w:r>
        <w:t xml:space="preserve"> </w:t>
      </w:r>
      <w:r>
        <w:rPr>
          <w:b/>
        </w:rPr>
        <w:t xml:space="preserve">سيطرة مالية وتشغيلية كاملة على كل مشروع على حدة، مع رؤية مجمَّعة على مستوى الشركة</w:t>
      </w:r>
      <w:r>
        <w:t xml:space="preserve">. كل مشروع أو موقع يُدار كمركز تكلفة مستقل بدفاتره الخاصة، ودورة الشيكات تُدار بالكامل من التسجيل حتى التحصيل أو الارتداد، ولكل مشروع دفتر شيكات مخصص، وتُدار الحسابات البنكية الأربعة وتُطابق كل واحد على حدة.</w:t>
      </w:r>
    </w:p>
    <w:p>
      <w:pPr>
        <w:numPr>
          <w:ilvl w:val="0"/>
          <w:numId w:val="1001"/>
        </w:numPr>
        <w:pStyle w:val="Compact"/>
      </w:pPr>
      <w:r>
        <w:t xml:space="preserve">عدد الوحدات المشمولة: 8 وحدات</w:t>
      </w:r>
    </w:p>
    <w:p>
      <w:pPr>
        <w:numPr>
          <w:ilvl w:val="0"/>
          <w:numId w:val="1001"/>
        </w:numPr>
        <w:pStyle w:val="Compact"/>
      </w:pPr>
      <w:r>
        <w:t xml:space="preserve">عدد المستخدمين المسمّين: 15 مستخدماً</w:t>
      </w:r>
    </w:p>
    <w:p>
      <w:pPr>
        <w:numPr>
          <w:ilvl w:val="0"/>
          <w:numId w:val="1001"/>
        </w:numPr>
        <w:pStyle w:val="Compact"/>
      </w:pPr>
      <w:r>
        <w:t xml:space="preserve">مدة التنفيذ: 8–10 أسابيع</w:t>
      </w:r>
    </w:p>
    <w:p>
      <w:pPr>
        <w:numPr>
          <w:ilvl w:val="0"/>
          <w:numId w:val="1001"/>
        </w:numPr>
        <w:pStyle w:val="Compact"/>
      </w:pPr>
      <w:r>
        <w:t xml:space="preserve">الدعم المشمول بعد الإطلاق: 12 شهراً</w:t>
      </w:r>
    </w:p>
    <w:p>
      <w:pPr>
        <w:numPr>
          <w:ilvl w:val="0"/>
          <w:numId w:val="1001"/>
        </w:numPr>
        <w:pStyle w:val="Compact"/>
      </w:pPr>
      <w:r>
        <w:t xml:space="preserve">الاستضافة: سحابية — يوصى بـ Odoo.sh</w:t>
      </w:r>
    </w:p>
    <w:p>
      <w:pPr>
        <w:numPr>
          <w:ilvl w:val="0"/>
          <w:numId w:val="1001"/>
        </w:numPr>
        <w:pStyle w:val="Compact"/>
      </w:pPr>
      <w:r>
        <w:t xml:space="preserve">السعر قبل الخصم: 2,200 KWD</w:t>
      </w:r>
    </w:p>
    <w:p>
      <w:pPr>
        <w:numPr>
          <w:ilvl w:val="0"/>
          <w:numId w:val="1001"/>
        </w:numPr>
        <w:pStyle w:val="Compact"/>
      </w:pPr>
      <w:r>
        <w:t xml:space="preserve">صافي الاستثمار بعد الخصم: 1,850 KWD (خصم 350 KWD بنسبة 16%)</w:t>
      </w:r>
    </w:p>
    <w:p>
      <w:pPr>
        <w:numPr>
          <w:ilvl w:val="0"/>
          <w:numId w:val="1001"/>
        </w:numPr>
        <w:pStyle w:val="Compact"/>
      </w:pPr>
      <w:r>
        <w:t xml:space="preserve">عدد دفعات السداد: 4 دفعات مرتبطة بالإنجاز</w:t>
      </w:r>
    </w:p>
    <w:p>
      <w:pPr>
        <w:pStyle w:val="Heading2"/>
      </w:pPr>
      <w:bookmarkStart w:id="22" w:name="Xc38c01482b34a32abcc469b2a458d8df7302e53"/>
      <w:r>
        <w:t xml:space="preserve">وحدة إدارة علاقات العملاء والتسويق (CRM &amp; Marketing)</w:t>
      </w:r>
      <w:bookmarkEnd w:id="22"/>
    </w:p>
    <w:p>
      <w:pPr>
        <w:pStyle w:val="FirstParagraph"/>
      </w:pPr>
      <w:r>
        <w:t xml:space="preserve">وحدة إدارة علاقات العملاء والتسويق</w:t>
      </w:r>
    </w:p>
    <w:p>
      <w:pPr>
        <w:pStyle w:val="Heading3"/>
      </w:pPr>
      <w:bookmarkStart w:id="23" w:name="نظرة-عامة-على-الوحدة-ومصادر-الفرص"/>
      <w:r>
        <w:t xml:space="preserve">نظرة عامة على الوحدة ومصادر الفرص</w:t>
      </w:r>
      <w:bookmarkEnd w:id="23"/>
    </w:p>
    <w:p>
      <w:pPr>
        <w:pStyle w:val="FirstParagraph"/>
      </w:pPr>
      <w:r>
        <w:t xml:space="preserve">وحدة إدارة علاقات العملاء والتسويق ( CRM &amp; Marketing ) مُهيّأة لشركة مقاولات عامة تعمل على المناقصات الحكومية وأعمال الباطن — تتابع كل فرصة من إعلان المناقصة حتى الترسية وفتح المشروع كمركز تكلفة مستقل.</w:t>
      </w:r>
    </w:p>
    <w:p>
      <w:pPr>
        <w:pStyle w:val="Heading3"/>
      </w:pPr>
      <w:bookmarkStart w:id="24" w:name="نطاق-الوحدة"/>
      <w:r>
        <w:t xml:space="preserve">نطاق الوحدة</w:t>
      </w:r>
      <w:bookmarkEnd w:id="24"/>
    </w:p>
    <w:p>
      <w:pPr>
        <w:pStyle w:val="FirstParagraph"/>
      </w:pPr>
      <w:r>
        <w:t xml:space="preserve">مقاولات عامة وإنشاءات — دولة الكويت</w:t>
      </w:r>
    </w:p>
    <w:p>
      <w:pPr>
        <w:pStyle w:val="BodyText"/>
      </w:pPr>
      <w:r>
        <w:t xml:space="preserve">ليست قمعاً بيعياً تجارياً، بل مسار مناقصات وفرص مشاريع: كل ملف يحمل الجهة المالكة ونوع الأعمال والقيمة التقديرية وتاريخ إقفال العطاء.</w:t>
      </w:r>
    </w:p>
    <w:p>
      <w:pPr>
        <w:numPr>
          <w:ilvl w:val="0"/>
          <w:numId w:val="1002"/>
        </w:numPr>
        <w:pStyle w:val="Compact"/>
      </w:pPr>
      <w:r>
        <w:t xml:space="preserve">متابعة المناقصات والعطاءات في لوحة واحدة</w:t>
      </w:r>
    </w:p>
    <w:p>
      <w:pPr>
        <w:numPr>
          <w:ilvl w:val="0"/>
          <w:numId w:val="1002"/>
        </w:numPr>
        <w:pStyle w:val="Compact"/>
      </w:pPr>
      <w:r>
        <w:t xml:space="preserve">ملف موحّد لكل فرصة يجمع المستندات والمراسلات</w:t>
      </w:r>
    </w:p>
    <w:p>
      <w:pPr>
        <w:numPr>
          <w:ilvl w:val="0"/>
          <w:numId w:val="1002"/>
        </w:numPr>
        <w:pStyle w:val="Compact"/>
      </w:pPr>
      <w:r>
        <w:t xml:space="preserve">ارتباط مباشر بوحدات Sales والمشاريع والمحاسبة</w:t>
      </w:r>
    </w:p>
    <w:p>
      <w:pPr>
        <w:numPr>
          <w:ilvl w:val="0"/>
          <w:numId w:val="1002"/>
        </w:numPr>
        <w:pStyle w:val="Compact"/>
      </w:pPr>
      <w:r>
        <w:t xml:space="preserve">عمل كامل من الجوال أثناء الزيارات الميدانية</w:t>
      </w:r>
    </w:p>
    <w:p>
      <w:pPr>
        <w:pStyle w:val="Heading3"/>
      </w:pPr>
      <w:bookmarkStart w:id="25" w:name="مصادر-الفرص-والمناقصات"/>
      <w:r>
        <w:t xml:space="preserve">مصادر الفرص والمناقصات</w:t>
      </w:r>
      <w:bookmarkEnd w:id="25"/>
    </w:p>
    <w:p>
      <w:pPr>
        <w:pStyle w:val="FirstParagraph"/>
      </w:pPr>
      <w:r>
        <w:t xml:space="preserve">قنوات متعددة مع تسجيل المصدر</w:t>
      </w:r>
    </w:p>
    <w:p>
      <w:pPr>
        <w:pStyle w:val="BodyText"/>
      </w:pPr>
      <w:r>
        <w:t xml:space="preserve">يُسجَّل مصدر كل فرصة عند إنشائها، ليقيس النظام لاحقاً أي قناة تُنتج أعمالاً مُرساة فعلياً وأيها تستهلك وقت الفريق دون عائد.</w:t>
      </w:r>
    </w:p>
    <w:p>
      <w:pPr>
        <w:numPr>
          <w:ilvl w:val="0"/>
          <w:numId w:val="1003"/>
        </w:numPr>
        <w:pStyle w:val="Compact"/>
      </w:pPr>
      <w:r>
        <w:t xml:space="preserve">المناقصات الحكومية والجهات العامة</w:t>
      </w:r>
    </w:p>
    <w:p>
      <w:pPr>
        <w:numPr>
          <w:ilvl w:val="0"/>
          <w:numId w:val="1003"/>
        </w:numPr>
        <w:pStyle w:val="Compact"/>
      </w:pPr>
      <w:r>
        <w:t xml:space="preserve">المقاولون الرئيسيون — أعمال الباطن</w:t>
      </w:r>
    </w:p>
    <w:p>
      <w:pPr>
        <w:numPr>
          <w:ilvl w:val="0"/>
          <w:numId w:val="1003"/>
        </w:numPr>
        <w:pStyle w:val="Compact"/>
      </w:pPr>
      <w:r>
        <w:t xml:space="preserve">المكاتب الاستشارية والمطورون العقاريون</w:t>
      </w:r>
    </w:p>
    <w:p>
      <w:pPr>
        <w:numPr>
          <w:ilvl w:val="0"/>
          <w:numId w:val="1003"/>
        </w:numPr>
        <w:pStyle w:val="Compact"/>
      </w:pPr>
      <w:r>
        <w:t xml:space="preserve">الأعمال المتكررة من عملاء سابقين</w:t>
      </w:r>
    </w:p>
    <w:p>
      <w:pPr>
        <w:numPr>
          <w:ilvl w:val="0"/>
          <w:numId w:val="1003"/>
        </w:numPr>
        <w:pStyle w:val="Compact"/>
      </w:pPr>
      <w:r>
        <w:t xml:space="preserve">الترشيح والتوصية من السوق</w:t>
      </w:r>
    </w:p>
    <w:p>
      <w:pPr>
        <w:pStyle w:val="Heading3"/>
      </w:pPr>
      <w:bookmarkStart w:id="26" w:name="شرائح-العملاء"/>
      <w:r>
        <w:t xml:space="preserve">شرائح العملاء</w:t>
      </w:r>
      <w:bookmarkEnd w:id="26"/>
    </w:p>
    <w:p>
      <w:pPr>
        <w:pStyle w:val="FirstParagraph"/>
      </w:pPr>
      <w:r>
        <w:t xml:space="preserve">لكل شريحة دورة قرار وشروط دفع مختلفة</w:t>
      </w:r>
    </w:p>
    <w:p>
      <w:pPr>
        <w:pStyle w:val="BodyText"/>
      </w:pPr>
      <w:r>
        <w:t xml:space="preserve">تختلف مدة التحصيل وآلية المستخلصات جذرياً بين شريحة وأخرى، لذلك تُفصَّل إجراءات المتابعة والتسعير لكل شريحة على حدة.</w:t>
      </w:r>
    </w:p>
    <w:p>
      <w:pPr>
        <w:numPr>
          <w:ilvl w:val="0"/>
          <w:numId w:val="1004"/>
        </w:numPr>
        <w:pStyle w:val="Compact"/>
      </w:pPr>
      <w:r>
        <w:t xml:space="preserve">الجهات الحكومية — مناقصات وكراسات شروط</w:t>
      </w:r>
    </w:p>
    <w:p>
      <w:pPr>
        <w:numPr>
          <w:ilvl w:val="0"/>
          <w:numId w:val="1004"/>
        </w:numPr>
        <w:pStyle w:val="Compact"/>
      </w:pPr>
      <w:r>
        <w:t xml:space="preserve">المقاولون الرئيسيون — عقود باطن ومستخلصات</w:t>
      </w:r>
    </w:p>
    <w:p>
      <w:pPr>
        <w:numPr>
          <w:ilvl w:val="0"/>
          <w:numId w:val="1004"/>
        </w:numPr>
        <w:pStyle w:val="Compact"/>
      </w:pPr>
      <w:r>
        <w:t xml:space="preserve">القطاع الخاص والشركات — عقود مباشرة</w:t>
      </w:r>
    </w:p>
    <w:p>
      <w:pPr>
        <w:numPr>
          <w:ilvl w:val="0"/>
          <w:numId w:val="1004"/>
        </w:numPr>
        <w:pStyle w:val="Compact"/>
      </w:pPr>
      <w:r>
        <w:t xml:space="preserve">الأفراد والمُلاك — أعمال مبانٍ وترميم</w:t>
      </w:r>
    </w:p>
    <w:p>
      <w:pPr>
        <w:pStyle w:val="Heading3"/>
      </w:pPr>
      <w:bookmarkStart w:id="27" w:name="بيانات-كل-فرصة"/>
      <w:r>
        <w:t xml:space="preserve">بيانات كل فرصة</w:t>
      </w:r>
      <w:bookmarkEnd w:id="27"/>
    </w:p>
    <w:p>
      <w:pPr>
        <w:pStyle w:val="FirstParagraph"/>
      </w:pPr>
      <w:r>
        <w:t xml:space="preserve">حقول إلزامية تُغلق باب التقدير الشفهي</w:t>
      </w:r>
    </w:p>
    <w:p>
      <w:pPr>
        <w:pStyle w:val="BodyText"/>
      </w:pPr>
      <w:r>
        <w:t xml:space="preserve">لا يُعتمد أي عطاء قبل اكتمال هذه الحقول، فهي أساس التسعير ومتابعة الضمانات وحساب الالتزامات المالية على الشركة.</w:t>
      </w:r>
    </w:p>
    <w:p>
      <w:pPr>
        <w:numPr>
          <w:ilvl w:val="0"/>
          <w:numId w:val="1005"/>
        </w:numPr>
        <w:pStyle w:val="Compact"/>
      </w:pPr>
      <w:r>
        <w:t xml:space="preserve">نوع العمل: مبانٍ أو بنية تحتية — والموقع</w:t>
      </w:r>
    </w:p>
    <w:p>
      <w:pPr>
        <w:numPr>
          <w:ilvl w:val="0"/>
          <w:numId w:val="1005"/>
        </w:numPr>
        <w:pStyle w:val="Compact"/>
      </w:pPr>
      <w:r>
        <w:t xml:space="preserve">القيمة التقديرية بـ KWD ومدة التنفيذ</w:t>
      </w:r>
    </w:p>
    <w:p>
      <w:pPr>
        <w:numPr>
          <w:ilvl w:val="0"/>
          <w:numId w:val="1005"/>
        </w:numPr>
        <w:pStyle w:val="Compact"/>
      </w:pPr>
      <w:r>
        <w:t xml:space="preserve">الضمان الابتدائي وتاريخ إقفال العطاء</w:t>
      </w:r>
    </w:p>
    <w:p>
      <w:pPr>
        <w:numPr>
          <w:ilvl w:val="0"/>
          <w:numId w:val="1005"/>
        </w:numPr>
        <w:pStyle w:val="Compact"/>
      </w:pPr>
      <w:r>
        <w:t xml:space="preserve">المسؤول عن الملف وحالة المتابعة</w:t>
      </w:r>
    </w:p>
    <w:p>
      <w:pPr>
        <w:pStyle w:val="Heading3"/>
      </w:pPr>
      <w:bookmarkStart w:id="28" w:name="رحلة-المناقصة-من-الإعلان-إلى-فتح-المشروع"/>
      <w:r>
        <w:t xml:space="preserve">رحلة المناقصة — من الإعلان إلى فتح المشروع</w:t>
      </w:r>
      <w:bookmarkEnd w:id="28"/>
    </w:p>
    <w:p>
      <w:pPr>
        <w:pStyle w:val="FirstParagraph"/>
      </w:pPr>
      <w:r>
        <w:t xml:space="preserve">ثماني مراحل موثّقة داخل النظام، لكل مرحلة مسؤول وتاريخ ومستند</w:t>
      </w:r>
    </w:p>
    <w:p>
      <w:pPr>
        <w:pStyle w:val="BodyText"/>
      </w:pPr>
      <w:r>
        <w:t xml:space="preserve">إعلان المناقصة</w:t>
      </w:r>
    </w:p>
    <w:p>
      <w:pPr>
        <w:pStyle w:val="BodyText"/>
      </w:pPr>
      <w:r>
        <w:t xml:space="preserve">دعوة أو إعلان</w:t>
      </w:r>
    </w:p>
    <w:p>
      <w:pPr>
        <w:pStyle w:val="BodyText"/>
      </w:pPr>
      <w:r>
        <w:t xml:space="preserve">شراء الكراسة</w:t>
      </w:r>
    </w:p>
    <w:p>
      <w:pPr>
        <w:pStyle w:val="BodyText"/>
      </w:pPr>
      <w:r>
        <w:t xml:space="preserve">قيد المصروف</w:t>
      </w:r>
    </w:p>
    <w:p>
      <w:pPr>
        <w:pStyle w:val="BodyText"/>
      </w:pPr>
      <w:r>
        <w:t xml:space="preserve">دراسة وزيارة</w:t>
      </w:r>
    </w:p>
    <w:p>
      <w:pPr>
        <w:pStyle w:val="BodyText"/>
      </w:pPr>
      <w:r>
        <w:t xml:space="preserve">معاينة الموقع</w:t>
      </w:r>
    </w:p>
    <w:p>
      <w:pPr>
        <w:pStyle w:val="BodyText"/>
      </w:pPr>
      <w:r>
        <w:t xml:space="preserve">تسعير البنود</w:t>
      </w:r>
    </w:p>
    <w:p>
      <w:pPr>
        <w:pStyle w:val="BodyText"/>
      </w:pPr>
      <w:r>
        <w:t xml:space="preserve">جدول الكميات</w:t>
      </w:r>
    </w:p>
    <w:p>
      <w:pPr>
        <w:pStyle w:val="BodyText"/>
      </w:pPr>
      <w:r>
        <w:t xml:space="preserve">تقديم العطاء</w:t>
      </w:r>
    </w:p>
    <w:p>
      <w:pPr>
        <w:pStyle w:val="BodyText"/>
      </w:pPr>
      <w:r>
        <w:t xml:space="preserve">ضمان ابتدائي</w:t>
      </w:r>
    </w:p>
    <w:p>
      <w:pPr>
        <w:pStyle w:val="BodyText"/>
      </w:pPr>
      <w:r>
        <w:t xml:space="preserve">الترسية</w:t>
      </w:r>
    </w:p>
    <w:p>
      <w:pPr>
        <w:pStyle w:val="BodyText"/>
      </w:pPr>
      <w:r>
        <w:t xml:space="preserve">كتاب الإرساء</w:t>
      </w:r>
    </w:p>
    <w:p>
      <w:pPr>
        <w:pStyle w:val="BodyText"/>
      </w:pPr>
      <w:r>
        <w:t xml:space="preserve">توقيع العقد</w:t>
      </w:r>
    </w:p>
    <w:p>
      <w:pPr>
        <w:pStyle w:val="BodyText"/>
      </w:pPr>
      <w:r>
        <w:t xml:space="preserve">ضمان نهائي</w:t>
      </w:r>
    </w:p>
    <w:p>
      <w:pPr>
        <w:pStyle w:val="BodyText"/>
      </w:pPr>
      <w:r>
        <w:t xml:space="preserve">فتح المشروع</w:t>
      </w:r>
    </w:p>
    <w:p>
      <w:pPr>
        <w:pStyle w:val="BodyText"/>
      </w:pPr>
      <w:r>
        <w:t xml:space="preserve">مركز تكلفة</w:t>
      </w:r>
    </w:p>
    <w:p>
      <w:pPr>
        <w:pStyle w:val="BodyText"/>
      </w:pPr>
      <w:r>
        <w:t xml:space="preserve">ملاحظة التنفيذ</w:t>
      </w:r>
    </w:p>
    <w:p>
      <w:pPr>
        <w:pStyle w:val="BodyText"/>
      </w:pPr>
      <w:r>
        <w:t xml:space="preserve">تُضبط حقول الفرصة على واقع شركة لؤلؤة الشايع: نوع الأعمال، المحافظة والموقع، القيمة التقديرية بـ KWD ، مدة التنفيذ، نسبة الضمان الابتدائي، وتاريخ إقفال العطاء مع تنبيه آلي قبل الموعد بسبعة أيام.</w:t>
      </w:r>
    </w:p>
    <w:p>
      <w:pPr>
        <w:pStyle w:val="BodyText"/>
      </w:pPr>
      <w:r>
        <w:t xml:space="preserve">وحدة إدارة علاقات العملاء والتسويق</w:t>
      </w:r>
    </w:p>
    <w:p>
      <w:pPr>
        <w:pStyle w:val="Heading3"/>
      </w:pPr>
      <w:bookmarkStart w:id="29" w:name="مسار-المناقصات-وإدارة-الفرص"/>
      <w:r>
        <w:t xml:space="preserve">مسار المناقصات وإدارة الفرص</w:t>
      </w:r>
      <w:bookmarkEnd w:id="29"/>
    </w:p>
    <w:p>
      <w:pPr>
        <w:pStyle w:val="FirstParagraph"/>
      </w:pPr>
      <w:r>
        <w:t xml:space="preserve">مسار مرئي مبني على دورة المناقصات في السوق الكويتي، تقرأ مراحله من اليمين إلى اليسار، ولكل مرحلة نسبة نجاح ومستند إلزامي ومسؤول محدد.</w:t>
      </w:r>
    </w:p>
    <w:p>
      <w:pPr>
        <w:pStyle w:val="Heading3"/>
      </w:pPr>
      <w:bookmarkStart w:id="30" w:name="إعلان-مناقصة"/>
      <w:r>
        <w:t xml:space="preserve">إعلان مناقصة</w:t>
      </w:r>
      <w:bookmarkEnd w:id="30"/>
    </w:p>
    <w:p>
      <w:pPr>
        <w:pStyle w:val="Heading3"/>
      </w:pPr>
      <w:bookmarkStart w:id="31" w:name="شراء-الكراسة"/>
      <w:r>
        <w:t xml:space="preserve">شراء الكراسة</w:t>
      </w:r>
      <w:bookmarkEnd w:id="31"/>
    </w:p>
    <w:p>
      <w:pPr>
        <w:pStyle w:val="FirstParagraph"/>
      </w:pPr>
      <w:r>
        <w:t xml:space="preserve">15%</w:t>
      </w:r>
    </w:p>
    <w:p>
      <w:pPr>
        <w:pStyle w:val="Heading3"/>
      </w:pPr>
      <w:bookmarkStart w:id="32" w:name="دراسة-وزيارة"/>
      <w:r>
        <w:t xml:space="preserve">دراسة وزيارة</w:t>
      </w:r>
      <w:bookmarkEnd w:id="32"/>
    </w:p>
    <w:p>
      <w:pPr>
        <w:pStyle w:val="FirstParagraph"/>
      </w:pPr>
      <w:r>
        <w:t xml:space="preserve">30%</w:t>
      </w:r>
    </w:p>
    <w:p>
      <w:pPr>
        <w:pStyle w:val="Heading3"/>
      </w:pPr>
      <w:bookmarkStart w:id="33" w:name="تسعير-البنود"/>
      <w:r>
        <w:t xml:space="preserve">تسعير البنود</w:t>
      </w:r>
      <w:bookmarkEnd w:id="33"/>
    </w:p>
    <w:p>
      <w:pPr>
        <w:pStyle w:val="FirstParagraph"/>
      </w:pPr>
      <w:r>
        <w:t xml:space="preserve">50%</w:t>
      </w:r>
    </w:p>
    <w:p>
      <w:pPr>
        <w:pStyle w:val="Heading3"/>
      </w:pPr>
      <w:bookmarkStart w:id="34" w:name="تقديم-العطاء"/>
      <w:r>
        <w:t xml:space="preserve">تقديم العطاء</w:t>
      </w:r>
      <w:bookmarkEnd w:id="34"/>
    </w:p>
    <w:p>
      <w:pPr>
        <w:pStyle w:val="FirstParagraph"/>
      </w:pPr>
      <w:r>
        <w:t xml:space="preserve">65%</w:t>
      </w:r>
    </w:p>
    <w:p>
      <w:pPr>
        <w:pStyle w:val="Heading3"/>
      </w:pPr>
      <w:bookmarkStart w:id="35" w:name="الترسية"/>
      <w:r>
        <w:t xml:space="preserve">الترسية</w:t>
      </w:r>
      <w:bookmarkEnd w:id="35"/>
    </w:p>
    <w:p>
      <w:pPr>
        <w:pStyle w:val="FirstParagraph"/>
      </w:pPr>
      <w:r>
        <w:t xml:space="preserve">85%</w:t>
      </w:r>
    </w:p>
    <w:p>
      <w:pPr>
        <w:pStyle w:val="Heading3"/>
      </w:pPr>
      <w:bookmarkStart w:id="36" w:name="توقيع-العقد"/>
      <w:r>
        <w:t xml:space="preserve">توقيع العقد</w:t>
      </w:r>
      <w:bookmarkEnd w:id="36"/>
    </w:p>
    <w:p>
      <w:pPr>
        <w:pStyle w:val="FirstParagraph"/>
      </w:pPr>
      <w:r>
        <w:t xml:space="preserve">100%</w:t>
      </w:r>
    </w:p>
    <w:p>
      <w:pPr>
        <w:pStyle w:val="Heading3"/>
      </w:pPr>
      <w:bookmarkStart w:id="37" w:name="عطاء-خاسر"/>
      <w:r>
        <w:t xml:space="preserve">عطاء خاسر</w:t>
      </w:r>
      <w:bookmarkEnd w:id="37"/>
    </w:p>
    <w:p>
      <w:pPr>
        <w:pStyle w:val="Heading3"/>
      </w:pPr>
      <w:bookmarkStart w:id="38" w:name="حقول-ملف-المناقصة"/>
      <w:r>
        <w:t xml:space="preserve">حقول ملف المناقصة</w:t>
      </w:r>
      <w:bookmarkEnd w:id="38"/>
    </w:p>
    <w:p>
      <w:pPr>
        <w:pStyle w:val="FirstParagraph"/>
      </w:pPr>
      <w:r>
        <w:t xml:space="preserve">بيانات إلزامية قبل اعتماد العطاء</w:t>
      </w:r>
    </w:p>
    <w:p>
      <w:pPr>
        <w:pStyle w:val="Heading3"/>
      </w:pPr>
      <w:bookmarkStart w:id="39" w:name="تحليل-الفوز-والخسارة"/>
      <w:r>
        <w:t xml:space="preserve">تحليل الفوز والخسارة</w:t>
      </w:r>
      <w:bookmarkEnd w:id="39"/>
    </w:p>
    <w:p>
      <w:pPr>
        <w:pStyle w:val="FirstParagraph"/>
      </w:pPr>
      <w:r>
        <w:t xml:space="preserve">تسجيل إلزامي عند إقفال كل ملف</w:t>
      </w:r>
    </w:p>
    <w:p>
      <w:pPr>
        <w:pStyle w:val="BodyText"/>
      </w:pPr>
      <w:r>
        <w:t xml:space="preserve">لا يُقفل أي عطاء دون سبب موثّق. تراكم هذه الأسباب يبني قاعدة معرفة تُصحّح سياسة التسعير بدل الاعتماد على الانطباع الشخصي.</w:t>
      </w:r>
    </w:p>
    <w:p>
      <w:pPr>
        <w:numPr>
          <w:ilvl w:val="0"/>
          <w:numId w:val="1006"/>
        </w:numPr>
        <w:pStyle w:val="Compact"/>
      </w:pPr>
      <w:r>
        <w:t xml:space="preserve">أسباب الفوز: السعر، الخبرة السابقة، سرعة التنفيذ</w:t>
      </w:r>
    </w:p>
    <w:p>
      <w:pPr>
        <w:numPr>
          <w:ilvl w:val="0"/>
          <w:numId w:val="1006"/>
        </w:numPr>
        <w:pStyle w:val="Compact"/>
      </w:pPr>
      <w:r>
        <w:t xml:space="preserve">أسباب الخسارة: فارق السعر، شروط فنية، ضمانات</w:t>
      </w:r>
    </w:p>
    <w:p>
      <w:pPr>
        <w:numPr>
          <w:ilvl w:val="0"/>
          <w:numId w:val="1006"/>
        </w:numPr>
        <w:pStyle w:val="Compact"/>
      </w:pPr>
      <w:r>
        <w:t xml:space="preserve">فارق السعر عن أقل عطاء مُقدَّم بالنسبة والقيمة</w:t>
      </w:r>
    </w:p>
    <w:p>
      <w:pPr>
        <w:numPr>
          <w:ilvl w:val="0"/>
          <w:numId w:val="1006"/>
        </w:numPr>
        <w:pStyle w:val="Compact"/>
      </w:pPr>
      <w:r>
        <w:t xml:space="preserve">معدل الفوز حسب الجهة ونوع العمل</w:t>
      </w:r>
    </w:p>
    <w:p>
      <w:pPr>
        <w:numPr>
          <w:ilvl w:val="0"/>
          <w:numId w:val="1006"/>
        </w:numPr>
        <w:pStyle w:val="Compact"/>
      </w:pPr>
      <w:r>
        <w:t xml:space="preserve">المنافسون المتكررون على النوعية نفسها</w:t>
      </w:r>
    </w:p>
    <w:p>
      <w:pPr>
        <w:pStyle w:val="FirstParagraph"/>
      </w:pPr>
      <w:r>
        <w:t xml:space="preserve">تقرير دوري يوضح أثر كل نقطة مئوية في هامش التسعير على احتمال الترسية.</w:t>
      </w:r>
    </w:p>
    <w:p>
      <w:pPr>
        <w:pStyle w:val="BodyText"/>
      </w:pPr>
      <w:r>
        <w:t xml:space="preserve">ملاحظة على المسار</w:t>
      </w:r>
    </w:p>
    <w:p>
      <w:pPr>
        <w:pStyle w:val="BodyText"/>
      </w:pPr>
      <w:r>
        <w:t xml:space="preserve">تُضبط نسب النجاح لكل مرحلة مسبقاً، ويصل تنبيه آلي إلى الإدارة عند توقّف أي عطاء عالي القيمة دون حركة لمدة تتجاوز 7 أيام، أو عند اقتراب تاريخ إقفال المناقصة.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نوع العمل</w:t>
            </w:r>
          </w:p>
        </w:tc>
        <w:tc>
          <w:tcPr>
            <w:tcBorders>
              <w:bottom w:val="single"/>
            </w:tcBorders>
            <w:vAlign w:val="bottom"/>
          </w:tcPr>
          <w:p>
            <w:pPr>
              <w:pStyle w:val="Compact"/>
              <w:jc w:val="left"/>
            </w:pPr>
            <w:r>
              <w:t xml:space="preserve">مبانٍ / بنية تحتية / ترميم وصيانة</w:t>
            </w:r>
          </w:p>
        </w:tc>
      </w:tr>
      <w:tr>
        <w:tc>
          <w:p>
            <w:pPr>
              <w:pStyle w:val="Compact"/>
              <w:jc w:val="left"/>
            </w:pPr>
            <w:r>
              <w:t xml:space="preserve">الجهة المالكة</w:t>
            </w:r>
          </w:p>
        </w:tc>
        <w:tc>
          <w:p>
            <w:pPr>
              <w:pStyle w:val="Compact"/>
              <w:jc w:val="left"/>
            </w:pPr>
            <w:r>
              <w:t xml:space="preserve">حكومية / مقاول رئيسي / خاص / فرد</w:t>
            </w:r>
          </w:p>
        </w:tc>
      </w:tr>
      <w:tr>
        <w:tc>
          <w:p>
            <w:pPr>
              <w:pStyle w:val="Compact"/>
              <w:jc w:val="left"/>
            </w:pPr>
            <w:r>
              <w:t xml:space="preserve">الموقع</w:t>
            </w:r>
          </w:p>
        </w:tc>
        <w:tc>
          <w:p>
            <w:pPr>
              <w:pStyle w:val="Compact"/>
              <w:jc w:val="left"/>
            </w:pPr>
            <w:r>
              <w:t xml:space="preserve">المحافظة والمنطقة وموقع الأعمال</w:t>
            </w:r>
          </w:p>
        </w:tc>
      </w:tr>
      <w:tr>
        <w:tc>
          <w:p>
            <w:pPr>
              <w:pStyle w:val="Compact"/>
              <w:jc w:val="left"/>
            </w:pPr>
            <w:r>
              <w:t xml:space="preserve">القيمة التقديرية</w:t>
            </w:r>
          </w:p>
        </w:tc>
        <w:tc>
          <w:p>
            <w:pPr>
              <w:pStyle w:val="Compact"/>
              <w:jc w:val="left"/>
            </w:pPr>
            <w:r>
              <w:t xml:space="preserve">بـ KWD — تُحتسب من بنود التسعير</w:t>
            </w:r>
          </w:p>
        </w:tc>
      </w:tr>
      <w:tr>
        <w:tc>
          <w:p>
            <w:pPr>
              <w:pStyle w:val="Compact"/>
              <w:jc w:val="left"/>
            </w:pPr>
            <w:r>
              <w:t xml:space="preserve">مدة التنفيذ</w:t>
            </w:r>
          </w:p>
        </w:tc>
        <w:tc>
          <w:p>
            <w:pPr>
              <w:pStyle w:val="Compact"/>
              <w:jc w:val="left"/>
            </w:pPr>
            <w:r>
              <w:t xml:space="preserve">بالأشهر حسب كراسة الشروط</w:t>
            </w:r>
          </w:p>
        </w:tc>
      </w:tr>
      <w:tr>
        <w:tc>
          <w:p>
            <w:pPr>
              <w:pStyle w:val="Compact"/>
              <w:jc w:val="left"/>
            </w:pPr>
            <w:r>
              <w:t xml:space="preserve">الضمان الابتدائي</w:t>
            </w:r>
          </w:p>
        </w:tc>
        <w:tc>
          <w:p>
            <w:pPr>
              <w:pStyle w:val="Compact"/>
              <w:jc w:val="left"/>
            </w:pPr>
            <w:r>
              <w:t xml:space="preserve">النسبة والقيمة وتاريخ الاستحقاق</w:t>
            </w:r>
          </w:p>
        </w:tc>
      </w:tr>
      <w:tr>
        <w:tc>
          <w:p>
            <w:pPr>
              <w:pStyle w:val="Compact"/>
              <w:jc w:val="left"/>
            </w:pPr>
            <w:r>
              <w:t xml:space="preserve">إقفال العطاء</w:t>
            </w:r>
          </w:p>
        </w:tc>
        <w:tc>
          <w:p>
            <w:pPr>
              <w:pStyle w:val="Compact"/>
              <w:jc w:val="left"/>
            </w:pPr>
            <w:r>
              <w:t xml:space="preserve">تاريخ محدد مع تنبيه قبل 7 أيام</w:t>
            </w:r>
          </w:p>
        </w:tc>
      </w:tr>
      <w:tr>
        <w:tc>
          <w:p>
            <w:pPr>
              <w:pStyle w:val="Compact"/>
              <w:jc w:val="left"/>
            </w:pPr>
            <w:r>
              <w:t xml:space="preserve">المسؤول عن الملف</w:t>
            </w:r>
          </w:p>
        </w:tc>
        <w:tc>
          <w:p>
            <w:pPr>
              <w:pStyle w:val="Compact"/>
              <w:jc w:val="left"/>
            </w:pPr>
            <w:r>
              <w:t xml:space="preserve">مهندس التسعير ومدير المناقصات</w:t>
            </w:r>
          </w:p>
        </w:tc>
      </w:tr>
    </w:tbl>
    <w:p>
      <w:pPr>
        <w:pStyle w:val="BodyText"/>
      </w:pPr>
      <w:r>
        <w:t xml:space="preserve">وحدة إدارة علاقات العملاء والتسويق</w:t>
      </w:r>
    </w:p>
    <w:p>
      <w:pPr>
        <w:pStyle w:val="Heading3"/>
      </w:pPr>
      <w:bookmarkStart w:id="40" w:name="الوظائف-والإمكانات"/>
      <w:r>
        <w:t xml:space="preserve">الوظائف والإمكانات</w:t>
      </w:r>
      <w:bookmarkEnd w:id="40"/>
    </w:p>
    <w:p>
      <w:pPr>
        <w:pStyle w:val="FirstParagraph"/>
      </w:pPr>
      <w:r>
        <w:t xml:space="preserve">أدوات عملية يستخدمها فريق المناقصات يومياً: بطاقة عميل شاملة تُظهر الواقع المالي قبل التسعير، ودراسة كراسة موثّقة، ومتابعة لا تسقط منها فرصة.</w:t>
      </w:r>
    </w:p>
    <w:p>
      <w:pPr>
        <w:pStyle w:val="Heading3"/>
      </w:pPr>
      <w:bookmarkStart w:id="41" w:name="بطاقة-العميل-الشاملة"/>
      <w:r>
        <w:t xml:space="preserve">بطاقة العميل الشاملة</w:t>
      </w:r>
      <w:bookmarkEnd w:id="41"/>
    </w:p>
    <w:p>
      <w:pPr>
        <w:pStyle w:val="FirstParagraph"/>
      </w:pPr>
      <w:r>
        <w:t xml:space="preserve">صورة مالية وتشغيلية كاملة في شاشة واحدة</w:t>
      </w:r>
    </w:p>
    <w:p>
      <w:pPr>
        <w:pStyle w:val="BodyText"/>
      </w:pPr>
      <w:r>
        <w:t xml:space="preserve">قبل تسعير أي عمل جديد يرى الفريق التجاري واقع العميل المالي: ما له وما عليه، وسلوكه في السداد عبر المشاريع السابقة.</w:t>
      </w:r>
    </w:p>
    <w:p>
      <w:pPr>
        <w:numPr>
          <w:ilvl w:val="0"/>
          <w:numId w:val="1007"/>
        </w:numPr>
        <w:pStyle w:val="Compact"/>
      </w:pPr>
      <w:r>
        <w:t xml:space="preserve">العقود المبرمة وقيمها وحالة كل عقد</w:t>
      </w:r>
    </w:p>
    <w:p>
      <w:pPr>
        <w:numPr>
          <w:ilvl w:val="0"/>
          <w:numId w:val="1007"/>
        </w:numPr>
        <w:pStyle w:val="Compact"/>
      </w:pPr>
      <w:r>
        <w:t xml:space="preserve">المستخلصات المُقدَّمة والمعتمدة والمسدَّدة</w:t>
      </w:r>
    </w:p>
    <w:p>
      <w:pPr>
        <w:numPr>
          <w:ilvl w:val="0"/>
          <w:numId w:val="1007"/>
        </w:numPr>
        <w:pStyle w:val="Compact"/>
      </w:pPr>
      <w:r>
        <w:t xml:space="preserve">الذمم المدينة وأعمارها بحسب فترات الاستحقاق</w:t>
      </w:r>
    </w:p>
    <w:p>
      <w:pPr>
        <w:numPr>
          <w:ilvl w:val="0"/>
          <w:numId w:val="1007"/>
        </w:numPr>
        <w:pStyle w:val="Compact"/>
      </w:pPr>
      <w:r>
        <w:t xml:space="preserve">سجل الشيكات المستلمة وحالة كل شيك</w:t>
      </w:r>
    </w:p>
    <w:p>
      <w:pPr>
        <w:numPr>
          <w:ilvl w:val="0"/>
          <w:numId w:val="1007"/>
        </w:numPr>
        <w:pStyle w:val="Compact"/>
      </w:pPr>
      <w:r>
        <w:t xml:space="preserve">ملخص الربحية المتحققة من أعمال العميل السابقة</w:t>
      </w:r>
    </w:p>
    <w:p>
      <w:pPr>
        <w:pStyle w:val="Heading3"/>
      </w:pPr>
      <w:bookmarkStart w:id="42" w:name="دراسة-الكراسة-والزيارة-الميدانية"/>
      <w:r>
        <w:t xml:space="preserve">دراسة الكراسة والزيارة الميدانية</w:t>
      </w:r>
      <w:bookmarkEnd w:id="42"/>
    </w:p>
    <w:p>
      <w:pPr>
        <w:pStyle w:val="FirstParagraph"/>
      </w:pPr>
      <w:r>
        <w:t xml:space="preserve">توثيق الموقع قبل التسعير</w:t>
      </w:r>
    </w:p>
    <w:p>
      <w:pPr>
        <w:pStyle w:val="BodyText"/>
      </w:pPr>
      <w:r>
        <w:t xml:space="preserve">تُسنَد الزيارة الميدانية من داخل ملف الفرصة نفسه، فيصل المهندس ومعه قائمة تحقق واضحة، ويعود بمخرجات موثّقة لا بملاحظات شفهية.</w:t>
      </w:r>
    </w:p>
    <w:p>
      <w:pPr>
        <w:numPr>
          <w:ilvl w:val="0"/>
          <w:numId w:val="1008"/>
        </w:numPr>
        <w:pStyle w:val="Compact"/>
      </w:pPr>
      <w:r>
        <w:t xml:space="preserve">تعيين المهندس وتاريخ الزيارة في تقويم الفريق</w:t>
      </w:r>
    </w:p>
    <w:p>
      <w:pPr>
        <w:numPr>
          <w:ilvl w:val="0"/>
          <w:numId w:val="1008"/>
        </w:numPr>
        <w:pStyle w:val="Compact"/>
      </w:pPr>
      <w:r>
        <w:t xml:space="preserve">قائمة تحقق ميدانية: الطبيعة، المداخل، المرافق</w:t>
      </w:r>
    </w:p>
    <w:p>
      <w:pPr>
        <w:numPr>
          <w:ilvl w:val="0"/>
          <w:numId w:val="1008"/>
        </w:numPr>
        <w:pStyle w:val="Compact"/>
      </w:pPr>
      <w:r>
        <w:t xml:space="preserve">رفع الصور والملاحظات من الجوال في الموقع</w:t>
      </w:r>
    </w:p>
    <w:p>
      <w:pPr>
        <w:numPr>
          <w:ilvl w:val="0"/>
          <w:numId w:val="1008"/>
        </w:numPr>
        <w:pStyle w:val="Compact"/>
      </w:pPr>
      <w:r>
        <w:t xml:space="preserve">تسجيل ملاحظات كراسة الشروط والاستفسارات</w:t>
      </w:r>
    </w:p>
    <w:p>
      <w:pPr>
        <w:numPr>
          <w:ilvl w:val="0"/>
          <w:numId w:val="1008"/>
        </w:numPr>
        <w:pStyle w:val="Compact"/>
      </w:pPr>
      <w:r>
        <w:t xml:space="preserve">قرار المشاركة: نتقدم / نعتذر — مع تسجيل السبب</w:t>
      </w:r>
    </w:p>
    <w:p>
      <w:pPr>
        <w:pStyle w:val="Heading3"/>
      </w:pPr>
      <w:bookmarkStart w:id="43" w:name="المراسلات-ومتابعة-الأنشطة"/>
      <w:r>
        <w:t xml:space="preserve">المراسلات ومتابعة الأنشطة</w:t>
      </w:r>
      <w:bookmarkEnd w:id="43"/>
    </w:p>
    <w:p>
      <w:pPr>
        <w:pStyle w:val="FirstParagraph"/>
      </w:pPr>
      <w:r>
        <w:t xml:space="preserve">كل اتصال محفوظ داخل ملف الفرصة</w:t>
      </w:r>
    </w:p>
    <w:p>
      <w:pPr>
        <w:pStyle w:val="BodyText"/>
      </w:pPr>
      <w:r>
        <w:t xml:space="preserve">تنتقل المراسلات من صناديق البريد الشخصية إلى ملف الفرصة، فتبقى المعرفة في الشركة لا في هاتف موظف واحد.</w:t>
      </w:r>
    </w:p>
    <w:p>
      <w:pPr>
        <w:numPr>
          <w:ilvl w:val="0"/>
          <w:numId w:val="1009"/>
        </w:numPr>
        <w:pStyle w:val="Compact"/>
      </w:pPr>
      <w:r>
        <w:t xml:space="preserve">قوالب مراسلات جاهزة بالعربية والإنجليزية</w:t>
      </w:r>
    </w:p>
    <w:p>
      <w:pPr>
        <w:numPr>
          <w:ilvl w:val="0"/>
          <w:numId w:val="1009"/>
        </w:numPr>
        <w:pStyle w:val="Compact"/>
      </w:pPr>
      <w:r>
        <w:t xml:space="preserve">كتب الاستفسار والتوضيح الموجَّهة للجهة المالكة</w:t>
      </w:r>
    </w:p>
    <w:p>
      <w:pPr>
        <w:numPr>
          <w:ilvl w:val="0"/>
          <w:numId w:val="1009"/>
        </w:numPr>
        <w:pStyle w:val="Compact"/>
      </w:pPr>
      <w:r>
        <w:t xml:space="preserve">سجل المكالمات ونتيجتها والإجراء التالي</w:t>
      </w:r>
    </w:p>
    <w:p>
      <w:pPr>
        <w:numPr>
          <w:ilvl w:val="0"/>
          <w:numId w:val="1009"/>
        </w:numPr>
        <w:pStyle w:val="Compact"/>
      </w:pPr>
      <w:r>
        <w:t xml:space="preserve">تنبيهات قبل انتهاء صلاحية الضمان الابتدائي</w:t>
      </w:r>
    </w:p>
    <w:p>
      <w:pPr>
        <w:numPr>
          <w:ilvl w:val="0"/>
          <w:numId w:val="1009"/>
        </w:numPr>
        <w:pStyle w:val="Compact"/>
      </w:pPr>
      <w:r>
        <w:t xml:space="preserve">ملاحظات داخلية للفريق غير ظاهرة للعميل</w:t>
      </w:r>
    </w:p>
    <w:p>
      <w:pPr>
        <w:pStyle w:val="Heading3"/>
      </w:pPr>
      <w:bookmarkStart w:id="44" w:name="أرشيف-مستندات-المناقصة"/>
      <w:r>
        <w:t xml:space="preserve">أرشيف مستندات المناقصة</w:t>
      </w:r>
      <w:bookmarkEnd w:id="44"/>
    </w:p>
    <w:p>
      <w:pPr>
        <w:pStyle w:val="FirstParagraph"/>
      </w:pPr>
      <w:r>
        <w:t xml:space="preserve">ملف رقمي واحد لكل عطاء</w:t>
      </w:r>
    </w:p>
    <w:p>
      <w:pPr>
        <w:pStyle w:val="BodyText"/>
      </w:pPr>
      <w:r>
        <w:t xml:space="preserve">كل ورقة تخص العطاء تُحفظ في مكانها الصحيح، ويبقى الملف مرجعاً كاملاً عند المراجعة أو التدقيق أو المطالبات لاحقاً.</w:t>
      </w:r>
    </w:p>
    <w:p>
      <w:pPr>
        <w:numPr>
          <w:ilvl w:val="0"/>
          <w:numId w:val="1010"/>
        </w:numPr>
        <w:pStyle w:val="Compact"/>
      </w:pPr>
      <w:r>
        <w:t xml:space="preserve">كراسة الشروط والمواصفات والرسومات</w:t>
      </w:r>
    </w:p>
    <w:p>
      <w:pPr>
        <w:numPr>
          <w:ilvl w:val="0"/>
          <w:numId w:val="1010"/>
        </w:numPr>
        <w:pStyle w:val="Compact"/>
      </w:pPr>
      <w:r>
        <w:t xml:space="preserve">جدول الكميات بنسخه: أولية، مراجَعة، نهائية</w:t>
      </w:r>
    </w:p>
    <w:p>
      <w:pPr>
        <w:numPr>
          <w:ilvl w:val="0"/>
          <w:numId w:val="1010"/>
        </w:numPr>
        <w:pStyle w:val="Compact"/>
      </w:pPr>
      <w:r>
        <w:t xml:space="preserve">خطاب الضمان الابتدائي ومحاضر التوضيحات</w:t>
      </w:r>
    </w:p>
    <w:p>
      <w:pPr>
        <w:numPr>
          <w:ilvl w:val="0"/>
          <w:numId w:val="1010"/>
        </w:numPr>
        <w:pStyle w:val="Compact"/>
      </w:pPr>
      <w:r>
        <w:t xml:space="preserve">نسخة العطاء المُقدَّم بصيغة PDF</w:t>
      </w:r>
    </w:p>
    <w:p>
      <w:pPr>
        <w:numPr>
          <w:ilvl w:val="0"/>
          <w:numId w:val="1010"/>
        </w:numPr>
        <w:pStyle w:val="Compact"/>
      </w:pPr>
      <w:r>
        <w:t xml:space="preserve">كتاب الترسية والعقد الموقّع وملاحقه</w:t>
      </w:r>
    </w:p>
    <w:p>
      <w:pPr>
        <w:pStyle w:val="Heading3"/>
      </w:pPr>
      <w:bookmarkStart w:id="45" w:name="من-استلام-الكراسة-إلى-تسليم-العطاء"/>
      <w:r>
        <w:t xml:space="preserve">من استلام الكراسة إلى تسليم العطاء</w:t>
      </w:r>
      <w:bookmarkEnd w:id="45"/>
    </w:p>
    <w:p>
      <w:pPr>
        <w:pStyle w:val="FirstParagraph"/>
      </w:pPr>
      <w:r>
        <w:t xml:space="preserve">خمس خطوات مُقيَّدة بالتاريخ والمسؤول داخل النظام</w:t>
      </w:r>
    </w:p>
    <w:p>
      <w:pPr>
        <w:pStyle w:val="BodyText"/>
      </w:pPr>
      <w:r>
        <w:t xml:space="preserve">فتح ملف الفرصة</w:t>
      </w:r>
    </w:p>
    <w:p>
      <w:pPr>
        <w:pStyle w:val="BodyText"/>
      </w:pPr>
      <w:r>
        <w:t xml:space="preserve">بيانات الجهة والموقع</w:t>
      </w:r>
    </w:p>
    <w:p>
      <w:pPr>
        <w:pStyle w:val="BodyText"/>
      </w:pPr>
      <w:r>
        <w:t xml:space="preserve">إسناد الزيارة</w:t>
      </w:r>
    </w:p>
    <w:p>
      <w:pPr>
        <w:pStyle w:val="BodyText"/>
      </w:pPr>
      <w:r>
        <w:t xml:space="preserve">مهندس وتاريخ محدد</w:t>
      </w:r>
    </w:p>
    <w:p>
      <w:pPr>
        <w:pStyle w:val="BodyText"/>
      </w:pPr>
      <w:r>
        <w:t xml:space="preserve">توثيق المعاينة</w:t>
      </w:r>
    </w:p>
    <w:p>
      <w:pPr>
        <w:pStyle w:val="BodyText"/>
      </w:pPr>
      <w:r>
        <w:t xml:space="preserve">صور وقياسات وملاحظات</w:t>
      </w:r>
    </w:p>
    <w:p>
      <w:pPr>
        <w:pStyle w:val="BodyText"/>
      </w:pPr>
      <w:r>
        <w:t xml:space="preserve">تسعير البنود</w:t>
      </w:r>
    </w:p>
    <w:p>
      <w:pPr>
        <w:pStyle w:val="BodyText"/>
      </w:pPr>
      <w:r>
        <w:t xml:space="preserve">مواد وعمالة ومعدات</w:t>
      </w:r>
    </w:p>
    <w:p>
      <w:pPr>
        <w:pStyle w:val="BodyText"/>
      </w:pPr>
      <w:r>
        <w:t xml:space="preserve">اعتماد وتسليم</w:t>
      </w:r>
    </w:p>
    <w:p>
      <w:pPr>
        <w:pStyle w:val="BodyText"/>
      </w:pPr>
      <w:r>
        <w:t xml:space="preserve">موافقة الإدارة والضمان</w:t>
      </w:r>
    </w:p>
    <w:p>
      <w:pPr>
        <w:pStyle w:val="BodyText"/>
      </w:pPr>
      <w:r>
        <w:t xml:space="preserve">العمل من الموقع</w:t>
      </w:r>
    </w:p>
    <w:p>
      <w:pPr>
        <w:pStyle w:val="BodyText"/>
      </w:pPr>
      <w:r>
        <w:t xml:space="preserve">يستطيع مهندسو المواقع فتح ملف الفرصة ورفع الصور وتسجيل الملاحظات من تطبيق Odoo على الجوال، ثم تُزامَن البيانات تلقائياً عند عودة الاتصال بالشبكة.</w:t>
      </w:r>
    </w:p>
    <w:p>
      <w:pPr>
        <w:pStyle w:val="BodyText"/>
      </w:pPr>
      <w:r>
        <w:t xml:space="preserve">وحدة إدارة علاقات العملاء والتسويق</w:t>
      </w:r>
    </w:p>
    <w:p>
      <w:pPr>
        <w:pStyle w:val="Heading3"/>
      </w:pPr>
      <w:bookmarkStart w:id="46" w:name="التقارير-والتحليلات"/>
      <w:r>
        <w:t xml:space="preserve">التقارير والتحليلات</w:t>
      </w:r>
      <w:bookmarkEnd w:id="46"/>
    </w:p>
    <w:p>
      <w:pPr>
        <w:pStyle w:val="FirstParagraph"/>
      </w:pPr>
      <w:r>
        <w:t xml:space="preserve">تقارير تُجيب على أسئلة الإدارة الحقيقية: أين تُهدر جهود التسعير، ومن يتأخر في السداد، وكم من قيمة الأعمال ما زالت شيكات تحت التحصيل.</w:t>
      </w:r>
    </w:p>
    <w:p>
      <w:pPr>
        <w:pStyle w:val="Heading3"/>
      </w:pPr>
      <w:bookmarkStart w:id="47" w:name="تقارير-المناقصات-ومعدل-الفوز"/>
      <w:r>
        <w:t xml:space="preserve">تقارير المناقصات ومعدل الفوز</w:t>
      </w:r>
      <w:bookmarkEnd w:id="47"/>
    </w:p>
    <w:p>
      <w:pPr>
        <w:pStyle w:val="FirstParagraph"/>
      </w:pPr>
      <w:r>
        <w:t xml:space="preserve">تحليل حسب الجهة ونوع العمل والمحافظة</w:t>
      </w:r>
    </w:p>
    <w:p>
      <w:pPr>
        <w:pStyle w:val="BodyText"/>
      </w:pPr>
      <w:r>
        <w:t xml:space="preserve">تكشف هذه التقارير أين تكون الشركة أقوى فعلياً، فتوجَّه جهود التسعير إلى الأعمال التي تُرسى لا إلى كل ما يُعلن.</w:t>
      </w:r>
    </w:p>
    <w:p>
      <w:pPr>
        <w:numPr>
          <w:ilvl w:val="0"/>
          <w:numId w:val="1011"/>
        </w:numPr>
        <w:pStyle w:val="Compact"/>
      </w:pPr>
      <w:r>
        <w:t xml:space="preserve">عدد المناقصات المقدَّمة خلال الفترة وقيمتها</w:t>
      </w:r>
    </w:p>
    <w:p>
      <w:pPr>
        <w:numPr>
          <w:ilvl w:val="0"/>
          <w:numId w:val="1011"/>
        </w:numPr>
        <w:pStyle w:val="Compact"/>
      </w:pPr>
      <w:r>
        <w:t xml:space="preserve">معدل الفوز حسب الجهة المالكة ونوع العمل</w:t>
      </w:r>
    </w:p>
    <w:p>
      <w:pPr>
        <w:numPr>
          <w:ilvl w:val="0"/>
          <w:numId w:val="1011"/>
        </w:numPr>
        <w:pStyle w:val="Compact"/>
      </w:pPr>
      <w:r>
        <w:t xml:space="preserve">متوسط فارق السعر عن أقل عطاء</w:t>
      </w:r>
    </w:p>
    <w:p>
      <w:pPr>
        <w:numPr>
          <w:ilvl w:val="0"/>
          <w:numId w:val="1011"/>
        </w:numPr>
        <w:pStyle w:val="Compact"/>
      </w:pPr>
      <w:r>
        <w:t xml:space="preserve">توزيع العطاءات: مبانٍ مقابل بنية تحتية</w:t>
      </w:r>
    </w:p>
    <w:p>
      <w:pPr>
        <w:numPr>
          <w:ilvl w:val="0"/>
          <w:numId w:val="1011"/>
        </w:numPr>
        <w:pStyle w:val="Compact"/>
      </w:pPr>
      <w:r>
        <w:t xml:space="preserve">أسباب الخسارة مرتّبة حسب التكرار</w:t>
      </w:r>
    </w:p>
    <w:p>
      <w:pPr>
        <w:pStyle w:val="Heading3"/>
      </w:pPr>
      <w:bookmarkStart w:id="48" w:name="الذمم-المدينة-وأعمار-الديون"/>
      <w:r>
        <w:t xml:space="preserve">الذمم المدينة وأعمار الديون</w:t>
      </w:r>
      <w:bookmarkEnd w:id="48"/>
    </w:p>
    <w:p>
      <w:pPr>
        <w:pStyle w:val="FirstParagraph"/>
      </w:pPr>
      <w:r>
        <w:t xml:space="preserve">لكل عميل ولكل مشروع على حدة</w:t>
      </w:r>
    </w:p>
    <w:p>
      <w:pPr>
        <w:pStyle w:val="BodyText"/>
      </w:pPr>
      <w:r>
        <w:t xml:space="preserve">يظهر التقرير موزّعاً على فترات الاستحقاق، ومرتبطاً بالمشروع الذي نشأ عنه الدين، لا كرقم إجمالي غامض في ميزان المراجعة.</w:t>
      </w:r>
    </w:p>
    <w:p>
      <w:pPr>
        <w:numPr>
          <w:ilvl w:val="0"/>
          <w:numId w:val="1012"/>
        </w:numPr>
        <w:pStyle w:val="Compact"/>
      </w:pPr>
      <w:r>
        <w:t xml:space="preserve">أعمار الديون: 30 و 60 و 90 يوماً وما فوق</w:t>
      </w:r>
    </w:p>
    <w:p>
      <w:pPr>
        <w:numPr>
          <w:ilvl w:val="0"/>
          <w:numId w:val="1012"/>
        </w:numPr>
        <w:pStyle w:val="Compact"/>
      </w:pPr>
      <w:r>
        <w:t xml:space="preserve">الرصيد المستحق لكل عميل مقابل سقفه الائتماني</w:t>
      </w:r>
    </w:p>
    <w:p>
      <w:pPr>
        <w:numPr>
          <w:ilvl w:val="0"/>
          <w:numId w:val="1012"/>
        </w:numPr>
        <w:pStyle w:val="Compact"/>
      </w:pPr>
      <w:r>
        <w:t xml:space="preserve">ربط كل مبلغ بالمستخلص والمشروع الصادر عنه</w:t>
      </w:r>
    </w:p>
    <w:p>
      <w:pPr>
        <w:numPr>
          <w:ilvl w:val="0"/>
          <w:numId w:val="1012"/>
        </w:numPr>
        <w:pStyle w:val="Compact"/>
      </w:pPr>
      <w:r>
        <w:t xml:space="preserve">قائمة المتأخرات المطلوب متابعتها هذا الأسبوع</w:t>
      </w:r>
    </w:p>
    <w:p>
      <w:pPr>
        <w:numPr>
          <w:ilvl w:val="0"/>
          <w:numId w:val="1012"/>
        </w:numPr>
        <w:pStyle w:val="Compact"/>
      </w:pPr>
      <w:r>
        <w:t xml:space="preserve">تصدير التقرير إلى Excel لعرضه على الإدارة</w:t>
      </w:r>
    </w:p>
    <w:p>
      <w:pPr>
        <w:pStyle w:val="Heading3"/>
      </w:pPr>
      <w:bookmarkStart w:id="49" w:name="متابعة-الشيكات-المستلمة"/>
      <w:r>
        <w:t xml:space="preserve">متابعة الشيكات المستلمة</w:t>
      </w:r>
      <w:bookmarkEnd w:id="49"/>
    </w:p>
    <w:p>
      <w:pPr>
        <w:pStyle w:val="FirstParagraph"/>
      </w:pPr>
      <w:r>
        <w:t xml:space="preserve">من التسليم حتى التحصيل</w:t>
      </w:r>
    </w:p>
    <w:p>
      <w:pPr>
        <w:pStyle w:val="BodyText"/>
      </w:pPr>
      <w:r>
        <w:t xml:space="preserve">معظم التحصيل يتم بالشيكات، لذلك يظهر كل شيك في تقرير مستقل بحالته وتاريخ استحقاقه والبنك المسحوب عليه.</w:t>
      </w:r>
    </w:p>
    <w:p>
      <w:pPr>
        <w:numPr>
          <w:ilvl w:val="0"/>
          <w:numId w:val="1013"/>
        </w:numPr>
        <w:pStyle w:val="Compact"/>
      </w:pPr>
      <w:r>
        <w:t xml:space="preserve">الشيكات تحت التحصيل بقيمتها الإجمالية</w:t>
      </w:r>
    </w:p>
    <w:p>
      <w:pPr>
        <w:numPr>
          <w:ilvl w:val="0"/>
          <w:numId w:val="1013"/>
        </w:numPr>
        <w:pStyle w:val="Compact"/>
      </w:pPr>
      <w:r>
        <w:t xml:space="preserve">المستحقة خلال الأيام السبعة القادمة</w:t>
      </w:r>
    </w:p>
    <w:p>
      <w:pPr>
        <w:numPr>
          <w:ilvl w:val="0"/>
          <w:numId w:val="1013"/>
        </w:numPr>
        <w:pStyle w:val="Compact"/>
      </w:pPr>
      <w:r>
        <w:t xml:space="preserve">الشيكات المرتجعة وإجراءات المتابعة عليها</w:t>
      </w:r>
    </w:p>
    <w:p>
      <w:pPr>
        <w:numPr>
          <w:ilvl w:val="0"/>
          <w:numId w:val="1013"/>
        </w:numPr>
        <w:pStyle w:val="Compact"/>
      </w:pPr>
      <w:r>
        <w:t xml:space="preserve">توزيع الشيكات على الحسابات البنكية الأربعة</w:t>
      </w:r>
    </w:p>
    <w:p>
      <w:pPr>
        <w:numPr>
          <w:ilvl w:val="0"/>
          <w:numId w:val="1013"/>
        </w:numPr>
        <w:pStyle w:val="Compact"/>
      </w:pPr>
      <w:r>
        <w:t xml:space="preserve">ربط كل شيك بالعميل والمشروع والمستخلص</w:t>
      </w:r>
    </w:p>
    <w:p>
      <w:pPr>
        <w:pStyle w:val="Heading3"/>
      </w:pPr>
      <w:bookmarkStart w:id="50" w:name="أداء-الفريق-ودورة-الترسية"/>
      <w:r>
        <w:t xml:space="preserve">أداء الفريق ودورة الترسية</w:t>
      </w:r>
      <w:bookmarkEnd w:id="50"/>
    </w:p>
    <w:p>
      <w:pPr>
        <w:pStyle w:val="FirstParagraph"/>
      </w:pPr>
      <w:r>
        <w:t xml:space="preserve">مؤشرات مبنية على دورة المناقصات</w:t>
      </w:r>
    </w:p>
    <w:p>
      <w:pPr>
        <w:pStyle w:val="BodyText"/>
      </w:pPr>
      <w:r>
        <w:t xml:space="preserve">تُقاس الكفاءة بسرعة إنجاز الدراسة والتسعير وبنسبة التحويل إلى ترسية، لا بعدد المكالمات أو الزيارات وحده.</w:t>
      </w:r>
    </w:p>
    <w:p>
      <w:pPr>
        <w:numPr>
          <w:ilvl w:val="0"/>
          <w:numId w:val="1014"/>
        </w:numPr>
        <w:pStyle w:val="Compact"/>
      </w:pPr>
      <w:r>
        <w:t xml:space="preserve">متوسط دورة الترسية من الإعلان إلى توقيع العقد</w:t>
      </w:r>
    </w:p>
    <w:p>
      <w:pPr>
        <w:numPr>
          <w:ilvl w:val="0"/>
          <w:numId w:val="1014"/>
        </w:numPr>
        <w:pStyle w:val="Compact"/>
      </w:pPr>
      <w:r>
        <w:t xml:space="preserve">مدة إعداد التسعير لكل ملف مقارنة بالمستهدف</w:t>
      </w:r>
    </w:p>
    <w:p>
      <w:pPr>
        <w:numPr>
          <w:ilvl w:val="0"/>
          <w:numId w:val="1014"/>
        </w:numPr>
        <w:pStyle w:val="Compact"/>
      </w:pPr>
      <w:r>
        <w:t xml:space="preserve">عدد الملفات المفتوحة لكل مسؤول وقيمتها</w:t>
      </w:r>
    </w:p>
    <w:p>
      <w:pPr>
        <w:numPr>
          <w:ilvl w:val="0"/>
          <w:numId w:val="1014"/>
        </w:numPr>
        <w:pStyle w:val="Compact"/>
      </w:pPr>
      <w:r>
        <w:t xml:space="preserve">الأنشطة المتأخرة لكل عضو في الفريق</w:t>
      </w:r>
    </w:p>
    <w:p>
      <w:pPr>
        <w:numPr>
          <w:ilvl w:val="0"/>
          <w:numId w:val="1014"/>
        </w:numPr>
        <w:pStyle w:val="Compact"/>
      </w:pPr>
      <w:r>
        <w:t xml:space="preserve">الفرص المتوقّفة دون حركة منذ أكثر من 14 يوماً</w:t>
      </w:r>
    </w:p>
    <w:p>
      <w:pPr>
        <w:pStyle w:val="Heading3"/>
      </w:pPr>
      <w:bookmarkStart w:id="51" w:name="X9b6337b3062ac9746b56cc2b9dac2f6483c47f8"/>
      <w:r>
        <w:t xml:space="preserve">مؤشرات الأداء الرئيسية — لوحة الإدارة التجارية</w:t>
      </w:r>
      <w:bookmarkEnd w:id="51"/>
    </w:p>
    <w:p>
      <w:pPr>
        <w:pStyle w:val="FirstParagraph"/>
      </w:pPr>
      <w:r>
        <w:t xml:space="preserve">مؤشرات محدَّثة لحظياً تظهر للإدارة عند تسجيل الدخول</w:t>
      </w:r>
    </w:p>
    <w:p>
      <w:pPr>
        <w:pStyle w:val="BodyText"/>
      </w:pPr>
      <w:r>
        <w:t xml:space="preserve">عدد</w:t>
      </w:r>
    </w:p>
    <w:p>
      <w:pPr>
        <w:pStyle w:val="BodyText"/>
      </w:pPr>
      <w:r>
        <w:t xml:space="preserve">المناقصات المقدَّمة</w:t>
      </w:r>
    </w:p>
    <w:p>
      <w:pPr>
        <w:pStyle w:val="BodyText"/>
      </w:pPr>
      <w:r>
        <w:t xml:space="preserve">خلال الفترة المحددة</w:t>
      </w:r>
    </w:p>
    <w:p>
      <w:pPr>
        <w:pStyle w:val="BodyText"/>
      </w:pPr>
      <w:r>
        <w:t xml:space="preserve">معدل الفوز</w:t>
      </w:r>
    </w:p>
    <w:p>
      <w:pPr>
        <w:pStyle w:val="BodyText"/>
      </w:pPr>
      <w:r>
        <w:t xml:space="preserve">المُرسى من المقدَّم</w:t>
      </w:r>
    </w:p>
    <w:p>
      <w:pPr>
        <w:pStyle w:val="BodyText"/>
      </w:pPr>
      <w:r>
        <w:t xml:space="preserve">KWD</w:t>
      </w:r>
    </w:p>
    <w:p>
      <w:pPr>
        <w:pStyle w:val="BodyText"/>
      </w:pPr>
      <w:r>
        <w:t xml:space="preserve">قيمة العطاءات</w:t>
      </w:r>
    </w:p>
    <w:p>
      <w:pPr>
        <w:pStyle w:val="BodyText"/>
      </w:pPr>
      <w:r>
        <w:t xml:space="preserve">إجمالي ما تم تقديمه</w:t>
      </w:r>
    </w:p>
    <w:p>
      <w:pPr>
        <w:pStyle w:val="BodyText"/>
      </w:pPr>
      <w:r>
        <w:t xml:space="preserve">يوم</w:t>
      </w:r>
    </w:p>
    <w:p>
      <w:pPr>
        <w:pStyle w:val="BodyText"/>
      </w:pPr>
      <w:r>
        <w:t xml:space="preserve">دورة الترسية</w:t>
      </w:r>
    </w:p>
    <w:p>
      <w:pPr>
        <w:pStyle w:val="BodyText"/>
      </w:pPr>
      <w:r>
        <w:t xml:space="preserve">من الإعلان إلى العقد</w:t>
      </w:r>
    </w:p>
    <w:p>
      <w:pPr>
        <w:pStyle w:val="BodyText"/>
      </w:pPr>
      <w:r>
        <w:t xml:space="preserve">KWD</w:t>
      </w:r>
    </w:p>
    <w:p>
      <w:pPr>
        <w:pStyle w:val="BodyText"/>
      </w:pPr>
      <w:r>
        <w:t xml:space="preserve">الذمم المدينة</w:t>
      </w:r>
    </w:p>
    <w:p>
      <w:pPr>
        <w:pStyle w:val="BodyText"/>
      </w:pPr>
      <w:r>
        <w:t xml:space="preserve">موزَّعة حسب العميل</w:t>
      </w:r>
    </w:p>
    <w:p>
      <w:pPr>
        <w:pStyle w:val="BodyText"/>
      </w:pPr>
      <w:r>
        <w:t xml:space="preserve">KWD</w:t>
      </w:r>
    </w:p>
    <w:p>
      <w:pPr>
        <w:pStyle w:val="BodyText"/>
      </w:pPr>
      <w:r>
        <w:t xml:space="preserve">شيكات تحت التحصيل</w:t>
      </w:r>
    </w:p>
    <w:p>
      <w:pPr>
        <w:pStyle w:val="BodyText"/>
      </w:pPr>
      <w:r>
        <w:t xml:space="preserve">بقيمتها وتواريخ استحقاقها</w:t>
      </w:r>
    </w:p>
    <w:p>
      <w:pPr>
        <w:pStyle w:val="BodyText"/>
      </w:pPr>
      <w:r>
        <w:t xml:space="preserve">ملاحظة على التقارير</w:t>
      </w:r>
    </w:p>
    <w:p>
      <w:pPr>
        <w:pStyle w:val="BodyText"/>
      </w:pPr>
      <w:r>
        <w:t xml:space="preserve">صلاحيات العرض مرتبطة بالدور الوظيفي: مسؤول الملف يرى ملفاته، ومدير المناقصات يرى الفريق كاملاً، والإدارة ترى الصورة المجمَّعة. وكل تقرير قابل للتصدير إلى Excel و PDF .</w:t>
      </w:r>
    </w:p>
    <w:p>
      <w:pPr>
        <w:pStyle w:val="BodyText"/>
      </w:pPr>
      <w:r>
        <w:t xml:space="preserve">وحدة إدارة علاقات العملاء والتسويق</w:t>
      </w:r>
    </w:p>
    <w:p>
      <w:pPr>
        <w:pStyle w:val="Heading3"/>
      </w:pPr>
      <w:bookmarkStart w:id="52" w:name="القيمة-المضافة-والتكامل"/>
      <w:r>
        <w:t xml:space="preserve">القيمة المضافة والتكامل</w:t>
      </w:r>
      <w:bookmarkEnd w:id="52"/>
    </w:p>
    <w:p>
      <w:pPr>
        <w:pStyle w:val="FirstParagraph"/>
      </w:pPr>
      <w:r>
        <w:t xml:space="preserve">الوحدة ليست جزيرة منفصلة، بل البوابة الأمامية للنظام: لحظة الترسية تتحول الفرصة إلى عقد ومشروع ومركز تكلفة، دون إعادة إدخال بيانات.</w:t>
      </w:r>
    </w:p>
    <w:p>
      <w:pPr>
        <w:pStyle w:val="Heading3"/>
      </w:pPr>
      <w:bookmarkStart w:id="53" w:name="التكامل-مع-وحدات-النظام"/>
      <w:r>
        <w:t xml:space="preserve">التكامل مع وحدات النظام</w:t>
      </w:r>
      <w:bookmarkEnd w:id="53"/>
    </w:p>
    <w:p>
      <w:pPr>
        <w:pStyle w:val="FirstParagraph"/>
      </w:pPr>
      <w:r>
        <w:t xml:space="preserve">منظومة مترابطة بلا إدخال مزدوج</w:t>
      </w:r>
    </w:p>
    <w:p>
      <w:pPr>
        <w:pStyle w:val="BodyText"/>
      </w:pPr>
      <w:r>
        <w:t xml:space="preserve">عند اعتماد الترسية داخل الوحدة تنطلق سلسلة إجراءات تلقائية في باقي الوحدات، فيبدأ المشروع بأرقامه الصحيحة من اليوم الأول.</w:t>
      </w:r>
    </w:p>
    <w:p>
      <w:pPr>
        <w:numPr>
          <w:ilvl w:val="0"/>
          <w:numId w:val="1015"/>
        </w:numPr>
        <w:pStyle w:val="Compact"/>
      </w:pPr>
      <w:r>
        <w:t xml:space="preserve">المبيعات: إنشاء العقد المُرسى في Sales ببنوده</w:t>
      </w:r>
    </w:p>
    <w:p>
      <w:pPr>
        <w:numPr>
          <w:ilvl w:val="0"/>
          <w:numId w:val="1015"/>
        </w:numPr>
        <w:pStyle w:val="Compact"/>
      </w:pPr>
      <w:r>
        <w:t xml:space="preserve">المحاسبة: فتح مركز تكلفة مستقل للمشروع</w:t>
      </w:r>
    </w:p>
    <w:p>
      <w:pPr>
        <w:numPr>
          <w:ilvl w:val="0"/>
          <w:numId w:val="1015"/>
        </w:numPr>
        <w:pStyle w:val="Compact"/>
      </w:pPr>
      <w:r>
        <w:t xml:space="preserve">المشتريات: تحويل بنود التسعير إلى طلبات شراء</w:t>
      </w:r>
    </w:p>
    <w:p>
      <w:pPr>
        <w:numPr>
          <w:ilvl w:val="0"/>
          <w:numId w:val="1015"/>
        </w:numPr>
        <w:pStyle w:val="Compact"/>
      </w:pPr>
      <w:r>
        <w:t xml:space="preserve">المخازن: تجهيز احتياج المواد حسب جدول الكميات</w:t>
      </w:r>
    </w:p>
    <w:p>
      <w:pPr>
        <w:numPr>
          <w:ilvl w:val="0"/>
          <w:numId w:val="1015"/>
        </w:numPr>
        <w:pStyle w:val="Compact"/>
      </w:pPr>
      <w:r>
        <w:t xml:space="preserve">الموارد البشرية: إسناد المهندسين والعمالة للموقع</w:t>
      </w:r>
    </w:p>
    <w:p>
      <w:pPr>
        <w:pStyle w:val="Heading3"/>
      </w:pPr>
      <w:bookmarkStart w:id="54" w:name="من-الترسية-إلى-مركز-التكلفة"/>
      <w:r>
        <w:t xml:space="preserve">من الترسية إلى مركز التكلفة</w:t>
      </w:r>
      <w:bookmarkEnd w:id="54"/>
    </w:p>
    <w:p>
      <w:pPr>
        <w:pStyle w:val="FirstParagraph"/>
      </w:pPr>
      <w:r>
        <w:t xml:space="preserve">كل مشروع فرع مستقل بحساباته</w:t>
      </w:r>
    </w:p>
    <w:p>
      <w:pPr>
        <w:pStyle w:val="BodyText"/>
      </w:pPr>
      <w:r>
        <w:t xml:space="preserve">الهدف الذي تقوم عليه المنظومة كلها: رقابة مالية وتشغيلية كاملة لكل مشروع، مع صورة مجمَّعة على مستوى الشركة.</w:t>
      </w:r>
    </w:p>
    <w:p>
      <w:pPr>
        <w:numPr>
          <w:ilvl w:val="0"/>
          <w:numId w:val="1016"/>
        </w:numPr>
        <w:pStyle w:val="Compact"/>
      </w:pPr>
      <w:r>
        <w:t xml:space="preserve">حساب تحليلي مستقل لكل مشروع منذ لحظة الترسية</w:t>
      </w:r>
    </w:p>
    <w:p>
      <w:pPr>
        <w:numPr>
          <w:ilvl w:val="0"/>
          <w:numId w:val="1016"/>
        </w:numPr>
        <w:pStyle w:val="Compact"/>
      </w:pPr>
      <w:r>
        <w:t xml:space="preserve">ترحيل القيمة التعاقدية ومدة التنفيذ إلى المشروع</w:t>
      </w:r>
    </w:p>
    <w:p>
      <w:pPr>
        <w:numPr>
          <w:ilvl w:val="0"/>
          <w:numId w:val="1016"/>
        </w:numPr>
        <w:pStyle w:val="Compact"/>
      </w:pPr>
      <w:r>
        <w:t xml:space="preserve">ربط دفتر الشيكات المخصص للمشروع بحساباته</w:t>
      </w:r>
    </w:p>
    <w:p>
      <w:pPr>
        <w:numPr>
          <w:ilvl w:val="0"/>
          <w:numId w:val="1016"/>
        </w:numPr>
        <w:pStyle w:val="Compact"/>
      </w:pPr>
      <w:r>
        <w:t xml:space="preserve">إيرادات ومصروفات وربحية فعلية لكل موقع</w:t>
      </w:r>
    </w:p>
    <w:p>
      <w:pPr>
        <w:numPr>
          <w:ilvl w:val="0"/>
          <w:numId w:val="1016"/>
        </w:numPr>
        <w:pStyle w:val="Compact"/>
      </w:pPr>
      <w:r>
        <w:t xml:space="preserve">مقارنة التكلفة الفعلية بتقديرات التسعير الأصلية</w:t>
      </w:r>
    </w:p>
    <w:p>
      <w:pPr>
        <w:pStyle w:val="Heading3"/>
      </w:pPr>
      <w:bookmarkStart w:id="55" w:name="انعكاسها-في-لوحات-الإدارة"/>
      <w:r>
        <w:t xml:space="preserve">انعكاسها في لوحات الإدارة</w:t>
      </w:r>
      <w:bookmarkEnd w:id="55"/>
    </w:p>
    <w:p>
      <w:pPr>
        <w:pStyle w:val="FirstParagraph"/>
      </w:pPr>
      <w:r>
        <w:t xml:space="preserve">قرار مبني على رقم لا على تقدير</w:t>
      </w:r>
    </w:p>
    <w:p>
      <w:pPr>
        <w:pStyle w:val="BodyText"/>
      </w:pPr>
      <w:r>
        <w:t xml:space="preserve">تتغذى لوحات المعلومات الإدارية مباشرة من ملفات الفرص والعقود، فتظهر حركة الأعمال القادمة قبل أن تصبح أرقاماً محاسبية.</w:t>
      </w:r>
    </w:p>
    <w:p>
      <w:pPr>
        <w:numPr>
          <w:ilvl w:val="0"/>
          <w:numId w:val="1017"/>
        </w:numPr>
        <w:pStyle w:val="Compact"/>
      </w:pPr>
      <w:r>
        <w:t xml:space="preserve">الأعمال المتوقعة خلال الأشهر الثلاثة القادمة</w:t>
      </w:r>
    </w:p>
    <w:p>
      <w:pPr>
        <w:numPr>
          <w:ilvl w:val="0"/>
          <w:numId w:val="1017"/>
        </w:numPr>
        <w:pStyle w:val="Compact"/>
      </w:pPr>
      <w:r>
        <w:t xml:space="preserve">التزامات الضمانات البنكية القائمة وتواريخها</w:t>
      </w:r>
    </w:p>
    <w:p>
      <w:pPr>
        <w:numPr>
          <w:ilvl w:val="0"/>
          <w:numId w:val="1017"/>
        </w:numPr>
        <w:pStyle w:val="Compact"/>
      </w:pPr>
      <w:r>
        <w:t xml:space="preserve">التدفق النقدي المتوقع من الشيكات والمستخلصات</w:t>
      </w:r>
    </w:p>
    <w:p>
      <w:pPr>
        <w:numPr>
          <w:ilvl w:val="0"/>
          <w:numId w:val="1017"/>
        </w:numPr>
        <w:pStyle w:val="Compact"/>
      </w:pPr>
      <w:r>
        <w:t xml:space="preserve">مقارنة المشاريع من حيث الإيراد وصافي الربح</w:t>
      </w:r>
    </w:p>
    <w:p>
      <w:pPr>
        <w:numPr>
          <w:ilvl w:val="0"/>
          <w:numId w:val="1017"/>
        </w:numPr>
        <w:pStyle w:val="Compact"/>
      </w:pPr>
      <w:r>
        <w:t xml:space="preserve">مؤشرات مجمَّعة للشركة وأخرى لكل مشروع</w:t>
      </w:r>
    </w:p>
    <w:p>
      <w:pPr>
        <w:pStyle w:val="Heading3"/>
      </w:pPr>
      <w:bookmarkStart w:id="56" w:name="التخصيص-لطبيعة-عمل-الشركة"/>
      <w:r>
        <w:t xml:space="preserve">التخصيص لطبيعة عمل الشركة</w:t>
      </w:r>
      <w:bookmarkEnd w:id="56"/>
    </w:p>
    <w:p>
      <w:pPr>
        <w:pStyle w:val="FirstParagraph"/>
      </w:pPr>
      <w:r>
        <w:t xml:space="preserve">إعداد على مقاس المقاولات لا قالب جاهز</w:t>
      </w:r>
    </w:p>
    <w:p>
      <w:pPr>
        <w:pStyle w:val="BodyText"/>
      </w:pPr>
      <w:r>
        <w:t xml:space="preserve">تتولى شركة ديكسور للحلول المتكاملة الحاسوبية ذ.م.م. ضبط الوحدة على إجراءات الشركة الفعلية خلال فترة التنفيذ.</w:t>
      </w:r>
    </w:p>
    <w:p>
      <w:pPr>
        <w:numPr>
          <w:ilvl w:val="0"/>
          <w:numId w:val="1018"/>
        </w:numPr>
        <w:pStyle w:val="Compact"/>
      </w:pPr>
      <w:r>
        <w:t xml:space="preserve">مسار اعتماد داخلي للعطاءات عالية القيمة</w:t>
      </w:r>
    </w:p>
    <w:p>
      <w:pPr>
        <w:numPr>
          <w:ilvl w:val="0"/>
          <w:numId w:val="1018"/>
        </w:numPr>
        <w:pStyle w:val="Compact"/>
      </w:pPr>
      <w:r>
        <w:t xml:space="preserve">مراسلات ثنائية اللغة عربية وإنجليزية</w:t>
      </w:r>
    </w:p>
    <w:p>
      <w:pPr>
        <w:numPr>
          <w:ilvl w:val="0"/>
          <w:numId w:val="1018"/>
        </w:numPr>
        <w:pStyle w:val="Compact"/>
      </w:pPr>
      <w:r>
        <w:t xml:space="preserve">صلاحيات دقيقة لكل دور: تسعير، اعتماد، متابعة</w:t>
      </w:r>
    </w:p>
    <w:p>
      <w:pPr>
        <w:numPr>
          <w:ilvl w:val="0"/>
          <w:numId w:val="1018"/>
        </w:numPr>
        <w:pStyle w:val="Compact"/>
      </w:pPr>
      <w:r>
        <w:t xml:space="preserve">نماذج مطبوعة تحمل هوية الشركة بصيغة PDF</w:t>
      </w:r>
    </w:p>
    <w:p>
      <w:pPr>
        <w:numPr>
          <w:ilvl w:val="0"/>
          <w:numId w:val="1018"/>
        </w:numPr>
        <w:pStyle w:val="Compact"/>
      </w:pPr>
      <w:r>
        <w:t xml:space="preserve">15 مستخدماً مُسمّى واستضافة سحابية على Odoo.sh</w:t>
      </w:r>
    </w:p>
    <w:p>
      <w:pPr>
        <w:pStyle w:val="Heading3"/>
      </w:pPr>
      <w:bookmarkStart w:id="57" w:name="X07c028d3c00f7283d5b656072df6238ad433f0b"/>
      <w:r>
        <w:t xml:space="preserve">الوحدة كنقطة انطلاق — ماذا يحدث لحظة الترسية</w:t>
      </w:r>
      <w:bookmarkEnd w:id="57"/>
    </w:p>
    <w:p>
      <w:pPr>
        <w:pStyle w:val="FirstParagraph"/>
      </w:pPr>
      <w:r>
        <w:t xml:space="preserve">إجراء واحد داخل ملف الفرصة يُشغّل سلسلة العمل بالكامل</w:t>
      </w:r>
    </w:p>
    <w:p>
      <w:pPr>
        <w:pStyle w:val="BodyText"/>
      </w:pPr>
      <w:r>
        <w:t xml:space="preserve">ترسية العطاء</w:t>
      </w:r>
    </w:p>
    <w:p>
      <w:pPr>
        <w:pStyle w:val="BodyText"/>
      </w:pPr>
      <w:r>
        <w:t xml:space="preserve">اعتماد الفوز داخل ملف الفرصة</w:t>
      </w:r>
    </w:p>
    <w:p>
      <w:pPr>
        <w:pStyle w:val="BodyText"/>
      </w:pPr>
      <w:r>
        <w:t xml:space="preserve">إنشاء العقد</w:t>
      </w:r>
    </w:p>
    <w:p>
      <w:pPr>
        <w:pStyle w:val="BodyText"/>
      </w:pPr>
      <w:r>
        <w:t xml:space="preserve">بنود التسعير تتحول إلى عقد معتمد</w:t>
      </w:r>
    </w:p>
    <w:p>
      <w:pPr>
        <w:pStyle w:val="BodyText"/>
      </w:pPr>
      <w:r>
        <w:t xml:space="preserve">مركز التكلفة</w:t>
      </w:r>
    </w:p>
    <w:p>
      <w:pPr>
        <w:pStyle w:val="BodyText"/>
      </w:pPr>
      <w:r>
        <w:t xml:space="preserve">فتح المشروع بحساب تحليلي مستقل</w:t>
      </w:r>
    </w:p>
    <w:p>
      <w:pPr>
        <w:pStyle w:val="BodyText"/>
      </w:pPr>
      <w:r>
        <w:t xml:space="preserve">المشتريات والمخازن</w:t>
      </w:r>
    </w:p>
    <w:p>
      <w:pPr>
        <w:pStyle w:val="BodyText"/>
      </w:pPr>
      <w:r>
        <w:t xml:space="preserve">احتياج المواد والمعدات للموقع</w:t>
      </w:r>
    </w:p>
    <w:p>
      <w:pPr>
        <w:pStyle w:val="BodyText"/>
      </w:pPr>
      <w:r>
        <w:t xml:space="preserve">لوحات الإدارة</w:t>
      </w:r>
    </w:p>
    <w:p>
      <w:pPr>
        <w:pStyle w:val="BodyText"/>
      </w:pPr>
      <w:r>
        <w:t xml:space="preserve">إيراد ومصروف وربحية كل مشروع</w:t>
      </w:r>
    </w:p>
    <w:p>
      <w:pPr>
        <w:pStyle w:val="BodyText"/>
      </w:pPr>
      <w:r>
        <w:t xml:space="preserve">DEXOR — Systems with Souls</w:t>
      </w:r>
    </w:p>
    <w:p>
      <w:pPr>
        <w:pStyle w:val="BodyText"/>
      </w:pPr>
      <w:r>
        <w:t xml:space="preserve">أُعد هذا العرض خصيصاً لشركة لؤلؤة الشايع للمقاولات العامة والإنشاءات. تُضبط الإجراءات والحقول والتكاملات على واقع عمل الشركة خلال فترة التنفيذ البالغة 8 إلى 10 أسابيع، يليها دعم فني مشمول لمدة 12 شهراً.</w:t>
      </w:r>
    </w:p>
    <w:p>
      <w:pPr>
        <w:pStyle w:val="Heading2"/>
      </w:pPr>
      <w:bookmarkStart w:id="58" w:name="وحدة-المبيعات-sales"/>
      <w:r>
        <w:t xml:space="preserve">وحدة المبيعات (Sales)</w:t>
      </w:r>
      <w:bookmarkEnd w:id="58"/>
    </w:p>
    <w:p>
      <w:pPr>
        <w:pStyle w:val="FirstParagraph"/>
      </w:pPr>
      <w:r>
        <w:t xml:space="preserve">وحدة المبيعات</w:t>
      </w:r>
    </w:p>
    <w:p>
      <w:pPr>
        <w:pStyle w:val="Heading3"/>
      </w:pPr>
      <w:bookmarkStart w:id="59" w:name="المبيعات-والعقود-نظرة-عامة"/>
      <w:r>
        <w:t xml:space="preserve">المبيعات والعقود — نظرة عامة</w:t>
      </w:r>
      <w:bookmarkEnd w:id="59"/>
    </w:p>
    <w:p>
      <w:pPr>
        <w:pStyle w:val="FirstParagraph"/>
      </w:pPr>
      <w:r>
        <w:t xml:space="preserve">تُدار المبيعات (Sales) في شركة لؤلؤة الشايع على أساس تعاقدي لا تجاري: عرض سعر مبني على جدول الكميات، ثم عقد مقاولة، ثم مستخلصات دورية حتى الإفراج عن المحتجزات — وكل خطوة مرتبطة بمركز تكلفة المشروع.</w:t>
      </w:r>
    </w:p>
    <w:p>
      <w:pPr>
        <w:pStyle w:val="Heading3"/>
      </w:pPr>
      <w:bookmarkStart w:id="60" w:name="نظرة-عامة-على-الوحدة"/>
      <w:r>
        <w:t xml:space="preserve">نظرة عامة على الوحدة</w:t>
      </w:r>
      <w:bookmarkEnd w:id="60"/>
    </w:p>
    <w:p>
      <w:pPr>
        <w:pStyle w:val="FirstParagraph"/>
      </w:pPr>
      <w:r>
        <w:t xml:space="preserve">دورة تعاقدية كاملة من العرض حتى الإقفال</w:t>
      </w:r>
    </w:p>
    <w:p>
      <w:pPr>
        <w:pStyle w:val="BodyText"/>
      </w:pPr>
      <w:r>
        <w:t xml:space="preserve">البيع لدى المقاول العام عقد طويل الأمد بقيمة متغيّرة، لا فاتورة واحدة. يتتبع النظام القيمة الأصلية للعقد وأوامر التغيير والمنفَّذ والمفوتر لكل مشروع على حدة.</w:t>
      </w:r>
    </w:p>
    <w:p>
      <w:pPr>
        <w:numPr>
          <w:ilvl w:val="0"/>
          <w:numId w:val="1019"/>
        </w:numPr>
        <w:pStyle w:val="Compact"/>
      </w:pPr>
      <w:r>
        <w:t xml:space="preserve">عرض سعر مبني على جدول الكميات لكل مشروع</w:t>
      </w:r>
    </w:p>
    <w:p>
      <w:pPr>
        <w:numPr>
          <w:ilvl w:val="0"/>
          <w:numId w:val="1019"/>
        </w:numPr>
        <w:pStyle w:val="Compact"/>
      </w:pPr>
      <w:r>
        <w:t xml:space="preserve">عقد مقاولة بشروط دفع ومحتجزات محددة</w:t>
      </w:r>
    </w:p>
    <w:p>
      <w:pPr>
        <w:numPr>
          <w:ilvl w:val="0"/>
          <w:numId w:val="1019"/>
        </w:numPr>
        <w:pStyle w:val="Compact"/>
      </w:pPr>
      <w:r>
        <w:t xml:space="preserve">مستخلصات دورية حسب نسبة الإنجاز الفعلي</w:t>
      </w:r>
    </w:p>
    <w:p>
      <w:pPr>
        <w:numPr>
          <w:ilvl w:val="0"/>
          <w:numId w:val="1019"/>
        </w:numPr>
        <w:pStyle w:val="Compact"/>
      </w:pPr>
      <w:r>
        <w:t xml:space="preserve">ارتباط تلقائي بمركز تكلفة المشروع</w:t>
      </w:r>
    </w:p>
    <w:p>
      <w:pPr>
        <w:numPr>
          <w:ilvl w:val="0"/>
          <w:numId w:val="1019"/>
        </w:numPr>
        <w:pStyle w:val="Compact"/>
      </w:pPr>
      <w:r>
        <w:t xml:space="preserve">تتبع القيمة الأصلية مقابل القيمة بعد أوامر التغيير</w:t>
      </w:r>
    </w:p>
    <w:p>
      <w:pPr>
        <w:pStyle w:val="FirstParagraph"/>
      </w:pPr>
      <w:r>
        <w:t xml:space="preserve">كل مستند يحمل رقم المشروع ورقم العقد المرتبط به</w:t>
      </w:r>
    </w:p>
    <w:p>
      <w:pPr>
        <w:pStyle w:val="Heading3"/>
      </w:pPr>
      <w:bookmarkStart w:id="61" w:name="عرض-السعر-وجدول-الكميات"/>
      <w:r>
        <w:t xml:space="preserve">عرض السعر وجدول الكميات</w:t>
      </w:r>
      <w:bookmarkEnd w:id="61"/>
    </w:p>
    <w:p>
      <w:pPr>
        <w:pStyle w:val="FirstParagraph"/>
      </w:pPr>
      <w:r>
        <w:t xml:space="preserve">بنود بكمية ووحدة وسعر إفرادي</w:t>
      </w:r>
    </w:p>
    <w:p>
      <w:pPr>
        <w:pStyle w:val="BodyText"/>
      </w:pPr>
      <w:r>
        <w:t xml:space="preserve">يُبنى العرض بنداً بنداً: وصف العمل، وحدة القياس، الكمية، السعر الإفرادي، ثم الإجمالي المحتسب آلياً — وتُجمَّع البنود في أقسام تعكس طبيعة الأعمال.</w:t>
      </w:r>
    </w:p>
    <w:p>
      <w:pPr>
        <w:numPr>
          <w:ilvl w:val="0"/>
          <w:numId w:val="1020"/>
        </w:numPr>
        <w:pStyle w:val="Compact"/>
      </w:pPr>
      <w:r>
        <w:t xml:space="preserve">أقسام: أعمال حفر، خرسانة، تشطيبات، أعمال كهربائية، بنية تحتية</w:t>
      </w:r>
    </w:p>
    <w:p>
      <w:pPr>
        <w:numPr>
          <w:ilvl w:val="0"/>
          <w:numId w:val="1020"/>
        </w:numPr>
        <w:pStyle w:val="Compact"/>
      </w:pPr>
      <w:r>
        <w:t xml:space="preserve">وحدات قياس: متر مكعب، متر مربع، متر طولي، عدد، مقطوعية</w:t>
      </w:r>
    </w:p>
    <w:p>
      <w:pPr>
        <w:numPr>
          <w:ilvl w:val="0"/>
          <w:numId w:val="1020"/>
        </w:numPr>
        <w:pStyle w:val="Compact"/>
      </w:pPr>
      <w:r>
        <w:t xml:space="preserve">إجمالي فرعي لكل قسم وإجمالي عام يُحتسب آلياً</w:t>
      </w:r>
    </w:p>
    <w:p>
      <w:pPr>
        <w:numPr>
          <w:ilvl w:val="0"/>
          <w:numId w:val="1020"/>
        </w:numPr>
        <w:pStyle w:val="Compact"/>
      </w:pPr>
      <w:r>
        <w:t xml:space="preserve">مراجعات العرض محفوظة: مبدئي، مُعدَّل، نهائي معتمد</w:t>
      </w:r>
    </w:p>
    <w:p>
      <w:pPr>
        <w:numPr>
          <w:ilvl w:val="0"/>
          <w:numId w:val="1020"/>
        </w:numPr>
        <w:pStyle w:val="Compact"/>
      </w:pPr>
      <w:r>
        <w:t xml:space="preserve">ملاحظات فنية وشروط خاصة تُطبع ضمن العرض</w:t>
      </w:r>
    </w:p>
    <w:p>
      <w:pPr>
        <w:pStyle w:val="FirstParagraph"/>
      </w:pPr>
      <w:r>
        <w:t xml:space="preserve">يُصدَّر العرض بصيغة PDF أو Excel بترويسة الشركة</w:t>
      </w:r>
    </w:p>
    <w:p>
      <w:pPr>
        <w:pStyle w:val="Heading3"/>
      </w:pPr>
      <w:bookmarkStart w:id="62" w:name="أوامر-التغيير"/>
      <w:r>
        <w:t xml:space="preserve">أوامر التغيير</w:t>
      </w:r>
      <w:bookmarkEnd w:id="62"/>
    </w:p>
    <w:p>
      <w:pPr>
        <w:pStyle w:val="FirstParagraph"/>
      </w:pPr>
      <w:r>
        <w:t xml:space="preserve">بنود وكميات إضافية دون فقدان الأثر</w:t>
      </w:r>
    </w:p>
    <w:p>
      <w:pPr>
        <w:pStyle w:val="BodyText"/>
      </w:pPr>
      <w:r>
        <w:t xml:space="preserve">أي بند إضافي أو كمية زائدة يُسجَّل أمر تغيير مستقلاً يمر بدورة اعتماد وتسعير، ثم يُضاف إلى قيمة العقد مع بقاء القيمة الأصلية ظاهرة للمقارنة والمساءلة.</w:t>
      </w:r>
    </w:p>
    <w:p>
      <w:pPr>
        <w:numPr>
          <w:ilvl w:val="0"/>
          <w:numId w:val="1021"/>
        </w:numPr>
        <w:pStyle w:val="Compact"/>
      </w:pPr>
      <w:r>
        <w:t xml:space="preserve">أمر تغيير مرقّم ومؤرَّخ ومرتبط بالعقد الأصلي</w:t>
      </w:r>
    </w:p>
    <w:p>
      <w:pPr>
        <w:numPr>
          <w:ilvl w:val="0"/>
          <w:numId w:val="1021"/>
        </w:numPr>
        <w:pStyle w:val="Compact"/>
      </w:pPr>
      <w:r>
        <w:t xml:space="preserve">اعتماد إداري موثّق قبل التنفيذ والتسعير</w:t>
      </w:r>
    </w:p>
    <w:p>
      <w:pPr>
        <w:numPr>
          <w:ilvl w:val="0"/>
          <w:numId w:val="1021"/>
        </w:numPr>
        <w:pStyle w:val="Compact"/>
      </w:pPr>
      <w:r>
        <w:t xml:space="preserve">قيمة العقد الحالية = الأصلية + أوامر التغيير المعتمدة</w:t>
      </w:r>
    </w:p>
    <w:p>
      <w:pPr>
        <w:numPr>
          <w:ilvl w:val="0"/>
          <w:numId w:val="1021"/>
        </w:numPr>
        <w:pStyle w:val="Compact"/>
      </w:pPr>
      <w:r>
        <w:t xml:space="preserve">تقرير مقارنة بين القيمة الأصلية والقيمة بعد التعديل</w:t>
      </w:r>
    </w:p>
    <w:p>
      <w:pPr>
        <w:numPr>
          <w:ilvl w:val="0"/>
          <w:numId w:val="1021"/>
        </w:numPr>
        <w:pStyle w:val="Compact"/>
      </w:pPr>
      <w:r>
        <w:t xml:space="preserve">منع تنفيذ أي عمل خارج العقد بلا أمر معتمد</w:t>
      </w:r>
    </w:p>
    <w:p>
      <w:pPr>
        <w:pStyle w:val="FirstParagraph"/>
      </w:pPr>
      <w:r>
        <w:t xml:space="preserve">أثر أمر التغيير ينعكس فوراً على موازنة المشروع</w:t>
      </w:r>
    </w:p>
    <w:p>
      <w:pPr>
        <w:pStyle w:val="Heading3"/>
      </w:pPr>
      <w:bookmarkStart w:id="63" w:name="المستخلصات-والتحصيل"/>
      <w:r>
        <w:t xml:space="preserve">المستخلصات والتحصيل</w:t>
      </w:r>
      <w:bookmarkEnd w:id="63"/>
    </w:p>
    <w:p>
      <w:pPr>
        <w:pStyle w:val="FirstParagraph"/>
      </w:pPr>
      <w:r>
        <w:t xml:space="preserve">فوترة الإنجاز ومتابعة الشيكات</w:t>
      </w:r>
    </w:p>
    <w:p>
      <w:pPr>
        <w:pStyle w:val="BodyText"/>
      </w:pPr>
      <w:r>
        <w:t xml:space="preserve">يُحتسب المستخلص من نسب إنجاز البنود، ويُخصم منه استرداد الدفعة المقدمة والمحتجزات، ليظهر صافي المستحق الذي يتحول إلى ذمة مدينة قابلة للتحصيل.</w:t>
      </w:r>
    </w:p>
    <w:p>
      <w:pPr>
        <w:numPr>
          <w:ilvl w:val="0"/>
          <w:numId w:val="1022"/>
        </w:numPr>
        <w:pStyle w:val="Compact"/>
      </w:pPr>
      <w:r>
        <w:t xml:space="preserve">نسبة إنجاز لكل بند، لا للمشروع ككل</w:t>
      </w:r>
    </w:p>
    <w:p>
      <w:pPr>
        <w:numPr>
          <w:ilvl w:val="0"/>
          <w:numId w:val="1022"/>
        </w:numPr>
        <w:pStyle w:val="Compact"/>
      </w:pPr>
      <w:r>
        <w:t xml:space="preserve">خصم الدفعة المقدمة وضمان حسن التنفيذ آلياً</w:t>
      </w:r>
    </w:p>
    <w:p>
      <w:pPr>
        <w:numPr>
          <w:ilvl w:val="0"/>
          <w:numId w:val="1022"/>
        </w:numPr>
        <w:pStyle w:val="Compact"/>
      </w:pPr>
      <w:r>
        <w:t xml:space="preserve">ذمة مدينة تُنشأ على حساب العميل فور الاعتماد</w:t>
      </w:r>
    </w:p>
    <w:p>
      <w:pPr>
        <w:numPr>
          <w:ilvl w:val="0"/>
          <w:numId w:val="1022"/>
        </w:numPr>
        <w:pStyle w:val="Compact"/>
      </w:pPr>
      <w:r>
        <w:t xml:space="preserve">تسجيل الشيك المستلم ومتابعته حتى التحصيل</w:t>
      </w:r>
    </w:p>
    <w:p>
      <w:pPr>
        <w:numPr>
          <w:ilvl w:val="0"/>
          <w:numId w:val="1022"/>
        </w:numPr>
        <w:pStyle w:val="Compact"/>
      </w:pPr>
      <w:r>
        <w:t xml:space="preserve">كشف حساب العميل يعرض المفوتر والمحصل والرصيد</w:t>
      </w:r>
    </w:p>
    <w:p>
      <w:pPr>
        <w:pStyle w:val="FirstParagraph"/>
      </w:pPr>
      <w:r>
        <w:t xml:space="preserve">لكل مشروع دفتر شيكات وحساب بنكي محدد من الحسابات الأربعة</w:t>
      </w:r>
    </w:p>
    <w:p>
      <w:pPr>
        <w:pStyle w:val="Heading3"/>
      </w:pPr>
      <w:bookmarkStart w:id="64" w:name="X0c235ebf78a278ca6396b0a6c7f5de228aff823"/>
      <w:r>
        <w:t xml:space="preserve">دورة البيع التعاقدي — من جدول الكميات إلى الإفراج عن المحتجزات</w:t>
      </w:r>
      <w:bookmarkEnd w:id="64"/>
    </w:p>
    <w:p>
      <w:pPr>
        <w:pStyle w:val="FirstParagraph"/>
      </w:pPr>
      <w:r>
        <w:t xml:space="preserve">ثماني خطوات موثّقة داخل النظام، كل خطوة تترك أثراً محاسبياً على حساب المشروع</w:t>
      </w:r>
    </w:p>
    <w:p>
      <w:pPr>
        <w:pStyle w:val="BodyText"/>
      </w:pPr>
      <w:r>
        <w:t xml:space="preserve">عرض السعر</w:t>
      </w:r>
    </w:p>
    <w:p>
      <w:pPr>
        <w:pStyle w:val="BodyText"/>
      </w:pPr>
      <w:r>
        <w:t xml:space="preserve">تسعير بنود جدول الكميات</w:t>
      </w:r>
    </w:p>
    <w:p>
      <w:pPr>
        <w:pStyle w:val="BodyText"/>
      </w:pPr>
      <w:r>
        <w:t xml:space="preserve">اعتماد العميل</w:t>
      </w:r>
    </w:p>
    <w:p>
      <w:pPr>
        <w:pStyle w:val="BodyText"/>
      </w:pPr>
      <w:r>
        <w:t xml:space="preserve">أمر إسناد أو ترسية</w:t>
      </w:r>
    </w:p>
    <w:p>
      <w:pPr>
        <w:pStyle w:val="BodyText"/>
      </w:pPr>
      <w:r>
        <w:t xml:space="preserve">عقد المقاولة</w:t>
      </w:r>
    </w:p>
    <w:p>
      <w:pPr>
        <w:pStyle w:val="BodyText"/>
      </w:pPr>
      <w:r>
        <w:t xml:space="preserve">قيمة وشروط دفع ومحتجزات</w:t>
      </w:r>
    </w:p>
    <w:p>
      <w:pPr>
        <w:pStyle w:val="BodyText"/>
      </w:pPr>
      <w:r>
        <w:t xml:space="preserve">فتح المشروع</w:t>
      </w:r>
    </w:p>
    <w:p>
      <w:pPr>
        <w:pStyle w:val="BodyText"/>
      </w:pPr>
      <w:r>
        <w:t xml:space="preserve">مركز تكلفة مستقل</w:t>
      </w:r>
    </w:p>
    <w:p>
      <w:pPr>
        <w:pStyle w:val="BodyText"/>
      </w:pPr>
      <w:r>
        <w:t xml:space="preserve">أوامر التغيير</w:t>
      </w:r>
    </w:p>
    <w:p>
      <w:pPr>
        <w:pStyle w:val="BodyText"/>
      </w:pPr>
      <w:r>
        <w:t xml:space="preserve">بنود وكميات إضافية</w:t>
      </w:r>
    </w:p>
    <w:p>
      <w:pPr>
        <w:pStyle w:val="BodyText"/>
      </w:pPr>
      <w:r>
        <w:t xml:space="preserve">المستخلص الدوري</w:t>
      </w:r>
    </w:p>
    <w:p>
      <w:pPr>
        <w:pStyle w:val="BodyText"/>
      </w:pPr>
      <w:r>
        <w:t xml:space="preserve">فوترة نسب الإنجاز</w:t>
      </w:r>
    </w:p>
    <w:p>
      <w:pPr>
        <w:pStyle w:val="BodyText"/>
      </w:pPr>
      <w:r>
        <w:t xml:space="preserve">المستخلص الختامي</w:t>
      </w:r>
    </w:p>
    <w:p>
      <w:pPr>
        <w:pStyle w:val="BodyText"/>
      </w:pPr>
      <w:r>
        <w:t xml:space="preserve">تسوية نهائية للكميات</w:t>
      </w:r>
    </w:p>
    <w:p>
      <w:pPr>
        <w:pStyle w:val="BodyText"/>
      </w:pPr>
      <w:r>
        <w:t xml:space="preserve">الإفراج عن المحتجزات</w:t>
      </w:r>
    </w:p>
    <w:p>
      <w:pPr>
        <w:pStyle w:val="BodyText"/>
      </w:pPr>
      <w:r>
        <w:t xml:space="preserve">إقفال العقد مالياً</w:t>
      </w:r>
    </w:p>
    <w:p>
      <w:pPr>
        <w:pStyle w:val="BodyText"/>
      </w:pPr>
      <w:r>
        <w:t xml:space="preserve">قيمة العقد الأصلية</w:t>
      </w:r>
    </w:p>
    <w:p>
      <w:pPr>
        <w:pStyle w:val="BodyText"/>
      </w:pPr>
      <w:r>
        <w:t xml:space="preserve">مثبَّتة لحظة التوقيع ولا تتغير بأي أمر لاحق</w:t>
      </w:r>
    </w:p>
    <w:p>
      <w:pPr>
        <w:pStyle w:val="BodyText"/>
      </w:pPr>
      <w:r>
        <w:t xml:space="preserve">قيمة أوامر التغيير</w:t>
      </w:r>
    </w:p>
    <w:p>
      <w:pPr>
        <w:pStyle w:val="BodyText"/>
      </w:pPr>
      <w:r>
        <w:t xml:space="preserve">مجموع الأوامر المعتمدة على العقد حتى تاريخه</w:t>
      </w:r>
    </w:p>
    <w:p>
      <w:pPr>
        <w:pStyle w:val="BodyText"/>
      </w:pPr>
      <w:r>
        <w:t xml:space="preserve">المنفَّذ والمفوتر</w:t>
      </w:r>
    </w:p>
    <w:p>
      <w:pPr>
        <w:pStyle w:val="BodyText"/>
      </w:pPr>
      <w:r>
        <w:t xml:space="preserve">نسبة الإنجاز المعتمدة وما تمت فوترته</w:t>
      </w:r>
    </w:p>
    <w:p>
      <w:pPr>
        <w:pStyle w:val="BodyText"/>
      </w:pPr>
      <w:r>
        <w:t xml:space="preserve">المحتجزات والدفعة</w:t>
      </w:r>
    </w:p>
    <w:p>
      <w:pPr>
        <w:pStyle w:val="BodyText"/>
      </w:pPr>
      <w:r>
        <w:t xml:space="preserve">الرصيد المحتجز والمتبقي من الدفعة المقدمة</w:t>
      </w:r>
    </w:p>
    <w:p>
      <w:pPr>
        <w:pStyle w:val="BodyText"/>
      </w:pPr>
      <w:r>
        <w:t xml:space="preserve">ملاحظة تنفيذية</w:t>
      </w:r>
    </w:p>
    <w:p>
      <w:pPr>
        <w:pStyle w:val="BodyText"/>
      </w:pPr>
      <w:r>
        <w:t xml:space="preserve">تُهيَّأ حقول عرض السعر والعقد خصيصاً لشركة لؤلؤة الشايع: نوع المشروع، الجهة المالكة، مدة التنفيذ، نسبة الدفعة المقدمة، نسبة المحتجزات، وقيمة العقد بعملة KWD .</w:t>
      </w:r>
    </w:p>
    <w:p>
      <w:pPr>
        <w:pStyle w:val="BodyText"/>
      </w:pPr>
      <w:r>
        <w:t xml:space="preserve">وحدة المبيعات</w:t>
      </w:r>
    </w:p>
    <w:p>
      <w:pPr>
        <w:pStyle w:val="Heading3"/>
      </w:pPr>
      <w:bookmarkStart w:id="65" w:name="مسار-العمليات-ودورة-العمل"/>
      <w:r>
        <w:t xml:space="preserve">مسار العمليات ودورة العمل</w:t>
      </w:r>
      <w:bookmarkEnd w:id="65"/>
    </w:p>
    <w:p>
      <w:pPr>
        <w:pStyle w:val="FirstParagraph"/>
      </w:pPr>
      <w:r>
        <w:t xml:space="preserve">مسار مرئي مبني على دورة المقاولات لدى شركة لؤلؤة الشايع — من استلام طلب التسعير أو كراسة المناقصة حتى الترسية وتوقيع العقد، مع توثيق أسباب عدم الترسية لتحسين التسعير مستقبلاً.</w:t>
      </w:r>
    </w:p>
    <w:p>
      <w:pPr>
        <w:pStyle w:val="Heading3"/>
      </w:pPr>
      <w:bookmarkStart w:id="66" w:name="طلب-تسعير"/>
      <w:r>
        <w:t xml:space="preserve">طلب تسعير</w:t>
      </w:r>
      <w:bookmarkEnd w:id="66"/>
    </w:p>
    <w:p>
      <w:pPr>
        <w:pStyle w:val="FirstParagraph"/>
      </w:pPr>
      <w:r>
        <w:t xml:space="preserve">10%</w:t>
      </w:r>
    </w:p>
    <w:p>
      <w:pPr>
        <w:pStyle w:val="Heading3"/>
      </w:pPr>
      <w:bookmarkStart w:id="67" w:name="زيارة-الموقع"/>
      <w:r>
        <w:t xml:space="preserve">زيارة الموقع</w:t>
      </w:r>
      <w:bookmarkEnd w:id="67"/>
    </w:p>
    <w:p>
      <w:pPr>
        <w:pStyle w:val="FirstParagraph"/>
      </w:pPr>
      <w:r>
        <w:t xml:space="preserve">25%</w:t>
      </w:r>
    </w:p>
    <w:p>
      <w:pPr>
        <w:pStyle w:val="Heading3"/>
      </w:pPr>
      <w:bookmarkStart w:id="68" w:name="حصر-الكميات"/>
      <w:r>
        <w:t xml:space="preserve">حصر الكميات</w:t>
      </w:r>
      <w:bookmarkEnd w:id="68"/>
    </w:p>
    <w:p>
      <w:pPr>
        <w:pStyle w:val="FirstParagraph"/>
      </w:pPr>
      <w:r>
        <w:t xml:space="preserve">40%</w:t>
      </w:r>
    </w:p>
    <w:p>
      <w:pPr>
        <w:pStyle w:val="Heading3"/>
      </w:pPr>
      <w:bookmarkStart w:id="69" w:name="تسعير-البنود-1"/>
      <w:r>
        <w:t xml:space="preserve">تسعير البنود</w:t>
      </w:r>
      <w:bookmarkEnd w:id="69"/>
    </w:p>
    <w:p>
      <w:pPr>
        <w:pStyle w:val="FirstParagraph"/>
      </w:pPr>
      <w:r>
        <w:t xml:space="preserve">55%</w:t>
      </w:r>
    </w:p>
    <w:p>
      <w:pPr>
        <w:pStyle w:val="Heading3"/>
      </w:pPr>
      <w:bookmarkStart w:id="70" w:name="تقديم-العرض"/>
      <w:r>
        <w:t xml:space="preserve">تقديم العرض</w:t>
      </w:r>
      <w:bookmarkEnd w:id="70"/>
    </w:p>
    <w:p>
      <w:pPr>
        <w:pStyle w:val="FirstParagraph"/>
      </w:pPr>
      <w:r>
        <w:t xml:space="preserve">65%</w:t>
      </w:r>
    </w:p>
    <w:p>
      <w:pPr>
        <w:pStyle w:val="Heading3"/>
      </w:pPr>
      <w:bookmarkStart w:id="71" w:name="التفاوض"/>
      <w:r>
        <w:t xml:space="preserve">التفاوض</w:t>
      </w:r>
      <w:bookmarkEnd w:id="71"/>
    </w:p>
    <w:p>
      <w:pPr>
        <w:pStyle w:val="FirstParagraph"/>
      </w:pPr>
      <w:r>
        <w:t xml:space="preserve">80%</w:t>
      </w:r>
    </w:p>
    <w:p>
      <w:pPr>
        <w:pStyle w:val="Heading3"/>
      </w:pPr>
      <w:bookmarkStart w:id="72" w:name="الترسية-والتوقيع"/>
      <w:r>
        <w:t xml:space="preserve">الترسية والتوقيع</w:t>
      </w:r>
      <w:bookmarkEnd w:id="72"/>
    </w:p>
    <w:p>
      <w:pPr>
        <w:pStyle w:val="FirstParagraph"/>
      </w:pPr>
      <w:r>
        <w:t xml:space="preserve">100%</w:t>
      </w:r>
    </w:p>
    <w:p>
      <w:pPr>
        <w:pStyle w:val="Heading3"/>
      </w:pPr>
      <w:bookmarkStart w:id="73" w:name="غير-مرسى"/>
      <w:r>
        <w:t xml:space="preserve">غير مرسى</w:t>
      </w:r>
      <w:bookmarkEnd w:id="73"/>
    </w:p>
    <w:p>
      <w:pPr>
        <w:pStyle w:val="Heading3"/>
      </w:pPr>
      <w:bookmarkStart w:id="74" w:name="حقول-عرض-السعر-المخصصة"/>
      <w:r>
        <w:t xml:space="preserve">حقول عرض السعر المخصصة</w:t>
      </w:r>
      <w:bookmarkEnd w:id="74"/>
    </w:p>
    <w:p>
      <w:pPr>
        <w:pStyle w:val="FirstParagraph"/>
      </w:pPr>
      <w:r>
        <w:t xml:space="preserve">بيانات المشروع تُلتقط منذ التسعير</w:t>
      </w:r>
    </w:p>
    <w:p>
      <w:pPr>
        <w:pStyle w:val="Heading3"/>
      </w:pPr>
      <w:bookmarkStart w:id="75" w:name="توثيق-أسباب-عدم-الترسية"/>
      <w:r>
        <w:t xml:space="preserve">توثيق أسباب عدم الترسية</w:t>
      </w:r>
      <w:bookmarkEnd w:id="75"/>
    </w:p>
    <w:p>
      <w:pPr>
        <w:pStyle w:val="FirstParagraph"/>
      </w:pPr>
      <w:r>
        <w:t xml:space="preserve">أسباب مصاغة لواقع سوق المقاولات</w:t>
      </w:r>
    </w:p>
    <w:p>
      <w:pPr>
        <w:pStyle w:val="BodyText"/>
      </w:pPr>
      <w:r>
        <w:t xml:space="preserve">تسجيل السبب إلزامي عند إغلاق أي عرض غير مرسى، فتتراكم قاعدة معرفة تُحسّن التسعير وشروط التقدم للمناقصات اللاحقة.</w:t>
      </w:r>
    </w:p>
    <w:p>
      <w:pPr>
        <w:numPr>
          <w:ilvl w:val="0"/>
          <w:numId w:val="1023"/>
        </w:numPr>
        <w:pStyle w:val="Compact"/>
      </w:pPr>
      <w:r>
        <w:t xml:space="preserve">السعر أعلى من أقرب منافس في المناقصة</w:t>
      </w:r>
    </w:p>
    <w:p>
      <w:pPr>
        <w:numPr>
          <w:ilvl w:val="0"/>
          <w:numId w:val="1023"/>
        </w:numPr>
        <w:pStyle w:val="Compact"/>
      </w:pPr>
      <w:r>
        <w:t xml:space="preserve">تأجيل المشروع أو إلغاء الترسية من الجهة المالكة</w:t>
      </w:r>
    </w:p>
    <w:p>
      <w:pPr>
        <w:numPr>
          <w:ilvl w:val="0"/>
          <w:numId w:val="1023"/>
        </w:numPr>
        <w:pStyle w:val="Compact"/>
      </w:pPr>
      <w:r>
        <w:t xml:space="preserve">شروط دفع أو نسبة محتجزات غير مقبولة</w:t>
      </w:r>
    </w:p>
    <w:p>
      <w:pPr>
        <w:numPr>
          <w:ilvl w:val="0"/>
          <w:numId w:val="1023"/>
        </w:numPr>
        <w:pStyle w:val="Compact"/>
      </w:pPr>
      <w:r>
        <w:t xml:space="preserve">ضيق الجدول الزمني مقابل الطاقة التنفيذية المتاحة</w:t>
      </w:r>
    </w:p>
    <w:p>
      <w:pPr>
        <w:numPr>
          <w:ilvl w:val="0"/>
          <w:numId w:val="1023"/>
        </w:numPr>
        <w:pStyle w:val="Compact"/>
      </w:pPr>
      <w:r>
        <w:t xml:space="preserve">نقص في متطلبات التأهيل أو الضمانات البنكية</w:t>
      </w:r>
    </w:p>
    <w:p>
      <w:pPr>
        <w:numPr>
          <w:ilvl w:val="0"/>
          <w:numId w:val="1023"/>
        </w:numPr>
        <w:pStyle w:val="Compact"/>
      </w:pPr>
      <w:r>
        <w:t xml:space="preserve">انسحاب الشركة لعدم توافر الطاقة التنفيذية للموعد</w:t>
      </w:r>
    </w:p>
    <w:p>
      <w:pPr>
        <w:pStyle w:val="FirstParagraph"/>
      </w:pPr>
      <w:r>
        <w:t xml:space="preserve">تقرير دوري يرتّب الأسباب حسب القيمة المفقودة</w:t>
      </w:r>
    </w:p>
    <w:p>
      <w:pPr>
        <w:pStyle w:val="Heading3"/>
      </w:pPr>
      <w:bookmarkStart w:id="76" w:name="ضوابط-التسعير-قبل-تقديم-العرض"/>
      <w:r>
        <w:t xml:space="preserve">ضوابط التسعير قبل تقديم العرض</w:t>
      </w:r>
      <w:bookmarkEnd w:id="76"/>
    </w:p>
    <w:p>
      <w:pPr>
        <w:pStyle w:val="FirstParagraph"/>
      </w:pPr>
      <w:r>
        <w:t xml:space="preserve">أربع بوابات يمر بها العرض قبل خروجه من الشركة</w:t>
      </w:r>
    </w:p>
    <w:p>
      <w:pPr>
        <w:pStyle w:val="BodyText"/>
      </w:pPr>
      <w:r>
        <w:t xml:space="preserve">مراجعة التكلفة</w:t>
      </w:r>
    </w:p>
    <w:p>
      <w:pPr>
        <w:pStyle w:val="BodyText"/>
      </w:pPr>
      <w:r>
        <w:t xml:space="preserve">مقارنة السعر المعروض بالتكلفة التقديرية لكل بند</w:t>
      </w:r>
    </w:p>
    <w:p>
      <w:pPr>
        <w:pStyle w:val="BodyText"/>
      </w:pPr>
      <w:r>
        <w:t xml:space="preserve">اعتماد إداري</w:t>
      </w:r>
    </w:p>
    <w:p>
      <w:pPr>
        <w:pStyle w:val="BodyText"/>
      </w:pPr>
      <w:r>
        <w:t xml:space="preserve">دورة اعتماد متدرجة حسب قيمة العرض</w:t>
      </w:r>
    </w:p>
    <w:p>
      <w:pPr>
        <w:pStyle w:val="BodyText"/>
      </w:pPr>
      <w:r>
        <w:t xml:space="preserve">صلاحية العرض</w:t>
      </w:r>
    </w:p>
    <w:p>
      <w:pPr>
        <w:pStyle w:val="BodyText"/>
      </w:pPr>
      <w:r>
        <w:t xml:space="preserve">تاريخ سريان محدد وتنبيه قبل انتهائه</w:t>
      </w:r>
    </w:p>
    <w:p>
      <w:pPr>
        <w:pStyle w:val="BodyText"/>
      </w:pPr>
      <w:r>
        <w:t xml:space="preserve">مستندات المناقصة</w:t>
      </w:r>
    </w:p>
    <w:p>
      <w:pPr>
        <w:pStyle w:val="BodyText"/>
      </w:pPr>
      <w:r>
        <w:t xml:space="preserve">الكراسة والضمان الابتدائي مرفقة بالعرض</w:t>
      </w:r>
    </w:p>
    <w:p>
      <w:pPr>
        <w:pStyle w:val="Heading3"/>
      </w:pPr>
      <w:bookmarkStart w:id="77" w:name="ما-الذي-يثبت-لحظة-توقيع-العقد"/>
      <w:r>
        <w:t xml:space="preserve">ما الذي يُثبَّت لحظة توقيع العقد</w:t>
      </w:r>
      <w:bookmarkEnd w:id="77"/>
    </w:p>
    <w:p>
      <w:pPr>
        <w:pStyle w:val="FirstParagraph"/>
      </w:pPr>
      <w:r>
        <w:t xml:space="preserve">خمسة عناصر تُقفل عند التوقيع فتصبح مرجع كل مستخلص وكل أمر تغيير لاحق</w:t>
      </w:r>
    </w:p>
    <w:p>
      <w:pPr>
        <w:pStyle w:val="BodyText"/>
      </w:pPr>
      <w:r>
        <w:t xml:space="preserve">رقم العقد ومركز التكلفة</w:t>
      </w:r>
    </w:p>
    <w:p>
      <w:pPr>
        <w:pStyle w:val="BodyText"/>
      </w:pPr>
      <w:r>
        <w:t xml:space="preserve">هوية مالية مستقلة للمشروع منذ اليوم الأول</w:t>
      </w:r>
    </w:p>
    <w:p>
      <w:pPr>
        <w:pStyle w:val="BodyText"/>
      </w:pPr>
      <w:r>
        <w:t xml:space="preserve">بنود جدول الكميات</w:t>
      </w:r>
    </w:p>
    <w:p>
      <w:pPr>
        <w:pStyle w:val="BodyText"/>
      </w:pPr>
      <w:r>
        <w:t xml:space="preserve">كميات وأسعار إفرادية مقفلة كمرجع دائم</w:t>
      </w:r>
    </w:p>
    <w:p>
      <w:pPr>
        <w:pStyle w:val="BodyText"/>
      </w:pPr>
      <w:r>
        <w:t xml:space="preserve">الدفعة المقدمة</w:t>
      </w:r>
    </w:p>
    <w:p>
      <w:pPr>
        <w:pStyle w:val="BodyText"/>
      </w:pPr>
      <w:r>
        <w:t xml:space="preserve">قيمتها ونسبة استردادها من كل مستخلص</w:t>
      </w:r>
    </w:p>
    <w:p>
      <w:pPr>
        <w:pStyle w:val="BodyText"/>
      </w:pPr>
      <w:r>
        <w:t xml:space="preserve">نسبة المحتجزات</w:t>
      </w:r>
    </w:p>
    <w:p>
      <w:pPr>
        <w:pStyle w:val="BodyText"/>
      </w:pPr>
      <w:r>
        <w:t xml:space="preserve">وفترة الصيانة وتاريخ استحقاق الإفراج</w:t>
      </w:r>
    </w:p>
    <w:p>
      <w:pPr>
        <w:pStyle w:val="BodyText"/>
      </w:pPr>
      <w:r>
        <w:t xml:space="preserve">دورة المستخلصات</w:t>
      </w:r>
    </w:p>
    <w:p>
      <w:pPr>
        <w:pStyle w:val="BodyText"/>
      </w:pPr>
      <w:r>
        <w:t xml:space="preserve">شهرية أو مرتبطة بمراحل الإنجاز المعتمدة</w:t>
      </w:r>
    </w:p>
    <w:p>
      <w:pPr>
        <w:pStyle w:val="BodyText"/>
      </w:pPr>
      <w:r>
        <w:t xml:space="preserve">ملاحظة على المسار</w:t>
      </w:r>
    </w:p>
    <w:p>
      <w:pPr>
        <w:pStyle w:val="BodyText"/>
      </w:pPr>
      <w:r>
        <w:t xml:space="preserve">تُضبط نسب الاحتمالية لكل مرحلة مسبقاً، وتصل الإدارة تنبيهات آلية عند توقف عرض مرتفع القيمة أكثر من 7 أيام أو عند اقتراب موعد إغلاق مناقصة حكومية.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نوع المشروع</w:t>
            </w:r>
          </w:p>
        </w:tc>
        <w:tc>
          <w:tcPr>
            <w:tcBorders>
              <w:bottom w:val="single"/>
            </w:tcBorders>
            <w:vAlign w:val="bottom"/>
          </w:tcPr>
          <w:p>
            <w:pPr>
              <w:pStyle w:val="Compact"/>
              <w:jc w:val="left"/>
            </w:pPr>
            <w:r>
              <w:t xml:space="preserve">مبنى / بنية تحتية / مناقصة حكومية</w:t>
            </w:r>
          </w:p>
        </w:tc>
      </w:tr>
      <w:tr>
        <w:tc>
          <w:p>
            <w:pPr>
              <w:pStyle w:val="Compact"/>
              <w:jc w:val="left"/>
            </w:pPr>
            <w:r>
              <w:t xml:space="preserve">الجهة المالكة</w:t>
            </w:r>
          </w:p>
        </w:tc>
        <w:tc>
          <w:p>
            <w:pPr>
              <w:pStyle w:val="Compact"/>
              <w:jc w:val="left"/>
            </w:pPr>
            <w:r>
              <w:t xml:space="preserve">جهة حكومية / قطاع خاص / مقاول رئيسي</w:t>
            </w:r>
          </w:p>
        </w:tc>
      </w:tr>
      <w:tr>
        <w:tc>
          <w:p>
            <w:pPr>
              <w:pStyle w:val="Compact"/>
              <w:jc w:val="left"/>
            </w:pPr>
            <w:r>
              <w:t xml:space="preserve">مدة التنفيذ</w:t>
            </w:r>
          </w:p>
        </w:tc>
        <w:tc>
          <w:p>
            <w:pPr>
              <w:pStyle w:val="Compact"/>
              <w:jc w:val="left"/>
            </w:pPr>
            <w:r>
              <w:t xml:space="preserve">بالأشهر وفق الجدول الزمني المعتمد</w:t>
            </w:r>
          </w:p>
        </w:tc>
      </w:tr>
      <w:tr>
        <w:tc>
          <w:p>
            <w:pPr>
              <w:pStyle w:val="Compact"/>
              <w:jc w:val="left"/>
            </w:pPr>
            <w:r>
              <w:t xml:space="preserve">الدفعة المقدمة</w:t>
            </w:r>
          </w:p>
        </w:tc>
        <w:tc>
          <w:p>
            <w:pPr>
              <w:pStyle w:val="Compact"/>
              <w:jc w:val="left"/>
            </w:pPr>
            <w:r>
              <w:t xml:space="preserve">نسبة من قيمة العقد تُسترد بالمستخلصات</w:t>
            </w:r>
          </w:p>
        </w:tc>
      </w:tr>
      <w:tr>
        <w:tc>
          <w:p>
            <w:pPr>
              <w:pStyle w:val="Compact"/>
              <w:jc w:val="left"/>
            </w:pPr>
            <w:r>
              <w:t xml:space="preserve">نسبة المحتجزات</w:t>
            </w:r>
          </w:p>
        </w:tc>
        <w:tc>
          <w:p>
            <w:pPr>
              <w:pStyle w:val="Compact"/>
              <w:jc w:val="left"/>
            </w:pPr>
            <w:r>
              <w:t xml:space="preserve">ضمان حسن التنفيذ يُخصم من كل مستخلص</w:t>
            </w:r>
          </w:p>
        </w:tc>
      </w:tr>
      <w:tr>
        <w:tc>
          <w:p>
            <w:pPr>
              <w:pStyle w:val="Compact"/>
              <w:jc w:val="left"/>
            </w:pPr>
            <w:r>
              <w:t xml:space="preserve">دورة المستخلص</w:t>
            </w:r>
          </w:p>
        </w:tc>
        <w:tc>
          <w:p>
            <w:pPr>
              <w:pStyle w:val="Compact"/>
              <w:jc w:val="left"/>
            </w:pPr>
            <w:r>
              <w:t xml:space="preserve">شهرية أو مرتبطة بمراحل الإنجاز</w:t>
            </w:r>
          </w:p>
        </w:tc>
      </w:tr>
      <w:tr>
        <w:tc>
          <w:p>
            <w:pPr>
              <w:pStyle w:val="Compact"/>
              <w:jc w:val="left"/>
            </w:pPr>
            <w:r>
              <w:t xml:space="preserve">الضمانات المطلوبة</w:t>
            </w:r>
          </w:p>
        </w:tc>
        <w:tc>
          <w:p>
            <w:pPr>
              <w:pStyle w:val="Compact"/>
              <w:jc w:val="left"/>
            </w:pPr>
            <w:r>
              <w:t xml:space="preserve">ابتدائي / نهائي / ضمان دفعة مقدمة</w:t>
            </w:r>
          </w:p>
        </w:tc>
      </w:tr>
      <w:tr>
        <w:tc>
          <w:p>
            <w:pPr>
              <w:pStyle w:val="Compact"/>
              <w:jc w:val="left"/>
            </w:pPr>
            <w:r>
              <w:t xml:space="preserve">قيمة العقد (KWD)</w:t>
            </w:r>
          </w:p>
        </w:tc>
        <w:tc>
          <w:p>
            <w:pPr>
              <w:pStyle w:val="Compact"/>
              <w:jc w:val="left"/>
            </w:pPr>
            <w:r>
              <w:t xml:space="preserve">محتسبة آلياً من بنود جدول الكميات</w:t>
            </w:r>
          </w:p>
        </w:tc>
      </w:tr>
    </w:tbl>
    <w:p>
      <w:pPr>
        <w:pStyle w:val="BodyText"/>
      </w:pPr>
      <w:r>
        <w:t xml:space="preserve">وحدة المبيعات</w:t>
      </w:r>
    </w:p>
    <w:p>
      <w:pPr>
        <w:pStyle w:val="Heading3"/>
      </w:pPr>
      <w:bookmarkStart w:id="78" w:name="الوظائف-والإمكانات-1"/>
      <w:r>
        <w:t xml:space="preserve">الوظائف والإمكانات</w:t>
      </w:r>
      <w:bookmarkEnd w:id="78"/>
    </w:p>
    <w:p>
      <w:pPr>
        <w:pStyle w:val="FirstParagraph"/>
      </w:pPr>
      <w:r>
        <w:t xml:space="preserve">أربع قدرات تشغيلية تحكم قيمة العقد من لحظة تسعير البند حتى الإفراج عن المحتجزات — مبنية على منطق المقاولات لا على منطق البيع بالتجزئة.</w:t>
      </w:r>
    </w:p>
    <w:p>
      <w:pPr>
        <w:pStyle w:val="Heading3"/>
      </w:pPr>
      <w:bookmarkStart w:id="79" w:name="بناء-جدول-الكميات-والتسعير"/>
      <w:r>
        <w:t xml:space="preserve">بناء جدول الكميات والتسعير</w:t>
      </w:r>
      <w:bookmarkEnd w:id="79"/>
    </w:p>
    <w:p>
      <w:pPr>
        <w:pStyle w:val="FirstParagraph"/>
      </w:pPr>
      <w:r>
        <w:t xml:space="preserve">من تكلفة البند إلى السعر الإفرادي</w:t>
      </w:r>
    </w:p>
    <w:p>
      <w:pPr>
        <w:pStyle w:val="BodyText"/>
      </w:pPr>
      <w:r>
        <w:t xml:space="preserve">يُبنى السعر الإفرادي لكل بند من مكوناته الفعلية: مواد، عمالة، معدات، مقاول باطن، ثم نسبة المصاريف العمومية وهامش الربح — فيصبح العرض قابلاً للدفاع عنه أمام المالك.</w:t>
      </w:r>
    </w:p>
    <w:p>
      <w:pPr>
        <w:numPr>
          <w:ilvl w:val="0"/>
          <w:numId w:val="1024"/>
        </w:numPr>
        <w:pStyle w:val="Compact"/>
      </w:pPr>
      <w:r>
        <w:t xml:space="preserve">مكتبة بنود قياسية قابلة لإعادة الاستخدام بين المشاريع</w:t>
      </w:r>
    </w:p>
    <w:p>
      <w:pPr>
        <w:numPr>
          <w:ilvl w:val="0"/>
          <w:numId w:val="1024"/>
        </w:numPr>
        <w:pStyle w:val="Compact"/>
      </w:pPr>
      <w:r>
        <w:t xml:space="preserve">تجميع البنود في أقسام بإجمالي فرعي لكل قسم</w:t>
      </w:r>
    </w:p>
    <w:p>
      <w:pPr>
        <w:numPr>
          <w:ilvl w:val="0"/>
          <w:numId w:val="1024"/>
        </w:numPr>
        <w:pStyle w:val="Compact"/>
      </w:pPr>
      <w:r>
        <w:t xml:space="preserve">مقارنة السعر المعروض بالتكلفة التقديرية وهامش البند</w:t>
      </w:r>
    </w:p>
    <w:p>
      <w:pPr>
        <w:numPr>
          <w:ilvl w:val="0"/>
          <w:numId w:val="1024"/>
        </w:numPr>
        <w:pStyle w:val="Compact"/>
      </w:pPr>
      <w:r>
        <w:t xml:space="preserve">استيراد وتصدير جدول الكميات بصيغة Excel</w:t>
      </w:r>
    </w:p>
    <w:p>
      <w:pPr>
        <w:numPr>
          <w:ilvl w:val="0"/>
          <w:numId w:val="1024"/>
        </w:numPr>
        <w:pStyle w:val="Compact"/>
      </w:pPr>
      <w:r>
        <w:t xml:space="preserve">تحديث الأسعار الإفرادية عند تغير أسعار المواد</w:t>
      </w:r>
    </w:p>
    <w:p>
      <w:pPr>
        <w:pStyle w:val="FirstParagraph"/>
      </w:pPr>
      <w:r>
        <w:t xml:space="preserve">نسخ عرض سابق كأساس لعرض جديد يختصر زمن التسعير</w:t>
      </w:r>
    </w:p>
    <w:p>
      <w:pPr>
        <w:pStyle w:val="Heading3"/>
      </w:pPr>
      <w:bookmarkStart w:id="80" w:name="أوامر-التغيير-وضبط-قيمة-العقد"/>
      <w:r>
        <w:t xml:space="preserve">أوامر التغيير وضبط قيمة العقد</w:t>
      </w:r>
      <w:bookmarkEnd w:id="80"/>
    </w:p>
    <w:p>
      <w:pPr>
        <w:pStyle w:val="FirstParagraph"/>
      </w:pPr>
      <w:r>
        <w:t xml:space="preserve">اعتماد ثم تسعير ثم إضافة</w:t>
      </w:r>
    </w:p>
    <w:p>
      <w:pPr>
        <w:pStyle w:val="BodyText"/>
      </w:pPr>
      <w:r>
        <w:t xml:space="preserve">لا يُنفَّذ عمل خارج العقد قبل صدور أمر تغيير معتمد. يحمل الأمر بنوده وكمياته وأسعاره، ويرفع قيمة العقد المعتمدة مع الإبقاء على القيمة الأصلية كمرجع دائم.</w:t>
      </w:r>
    </w:p>
    <w:p>
      <w:pPr>
        <w:numPr>
          <w:ilvl w:val="0"/>
          <w:numId w:val="1025"/>
        </w:numPr>
        <w:pStyle w:val="Compact"/>
      </w:pPr>
      <w:r>
        <w:t xml:space="preserve">بند إضافي جديد أو زيادة كمية على بند قائم</w:t>
      </w:r>
    </w:p>
    <w:p>
      <w:pPr>
        <w:numPr>
          <w:ilvl w:val="0"/>
          <w:numId w:val="1025"/>
        </w:numPr>
        <w:pStyle w:val="Compact"/>
      </w:pPr>
      <w:r>
        <w:t xml:space="preserve">دورة اعتماد متدرجة حسب قيمة أمر التغيير</w:t>
      </w:r>
    </w:p>
    <w:p>
      <w:pPr>
        <w:numPr>
          <w:ilvl w:val="0"/>
          <w:numId w:val="1025"/>
        </w:numPr>
        <w:pStyle w:val="Compact"/>
      </w:pPr>
      <w:r>
        <w:t xml:space="preserve">أثر مباشر على الجدول الزمني وموازنة المشروع</w:t>
      </w:r>
    </w:p>
    <w:p>
      <w:pPr>
        <w:numPr>
          <w:ilvl w:val="0"/>
          <w:numId w:val="1025"/>
        </w:numPr>
        <w:pStyle w:val="Compact"/>
      </w:pPr>
      <w:r>
        <w:t xml:space="preserve">سجل كامل: من طلب، من اعتمد، ومتى صدر الأمر</w:t>
      </w:r>
    </w:p>
    <w:p>
      <w:pPr>
        <w:numPr>
          <w:ilvl w:val="0"/>
          <w:numId w:val="1025"/>
        </w:numPr>
        <w:pStyle w:val="Compact"/>
      </w:pPr>
      <w:r>
        <w:t xml:space="preserve">أوامر تغيير سالبة لتخفيض كميات متعاقد عليها</w:t>
      </w:r>
    </w:p>
    <w:p>
      <w:pPr>
        <w:pStyle w:val="FirstParagraph"/>
      </w:pPr>
      <w:r>
        <w:t xml:space="preserve">تقرير يعرض العقد الأصلي مقابل القيمة بعد كل تعديل</w:t>
      </w:r>
    </w:p>
    <w:p>
      <w:pPr>
        <w:pStyle w:val="Heading3"/>
      </w:pPr>
      <w:bookmarkStart w:id="81" w:name="المستخلصات-ونسب-الإنجاز"/>
      <w:r>
        <w:t xml:space="preserve">المستخلصات ونسب الإنجاز</w:t>
      </w:r>
      <w:bookmarkEnd w:id="81"/>
    </w:p>
    <w:p>
      <w:pPr>
        <w:pStyle w:val="FirstParagraph"/>
      </w:pPr>
      <w:r>
        <w:t xml:space="preserve">فوترة ما نُفِّذ فعلاً لا ما خُطِّط له</w:t>
      </w:r>
    </w:p>
    <w:p>
      <w:pPr>
        <w:pStyle w:val="BodyText"/>
      </w:pPr>
      <w:r>
        <w:t xml:space="preserve">يُنشأ المستخلص الدوري من نسب الإنجاز المعتمدة لكل بند، فيعرض الكمية المنفذة تراكمياً وما سبقت فوترته وما يُستحق في الدورة الحالية.</w:t>
      </w:r>
    </w:p>
    <w:p>
      <w:pPr>
        <w:numPr>
          <w:ilvl w:val="0"/>
          <w:numId w:val="1026"/>
        </w:numPr>
        <w:pStyle w:val="Compact"/>
      </w:pPr>
      <w:r>
        <w:t xml:space="preserve">مستخلص مرقّم بتاريخ ودورة زمنية محددة</w:t>
      </w:r>
    </w:p>
    <w:p>
      <w:pPr>
        <w:numPr>
          <w:ilvl w:val="0"/>
          <w:numId w:val="1026"/>
        </w:numPr>
        <w:pStyle w:val="Compact"/>
      </w:pPr>
      <w:r>
        <w:t xml:space="preserve">عمود للكمية التراكمية وآخر للفارق عن المستخلص السابق</w:t>
      </w:r>
    </w:p>
    <w:p>
      <w:pPr>
        <w:numPr>
          <w:ilvl w:val="0"/>
          <w:numId w:val="1026"/>
        </w:numPr>
        <w:pStyle w:val="Compact"/>
      </w:pPr>
      <w:r>
        <w:t xml:space="preserve">اعتماد داخلي ثم اعتماد استشاري المالك</w:t>
      </w:r>
    </w:p>
    <w:p>
      <w:pPr>
        <w:numPr>
          <w:ilvl w:val="0"/>
          <w:numId w:val="1026"/>
        </w:numPr>
        <w:pStyle w:val="Compact"/>
      </w:pPr>
      <w:r>
        <w:t xml:space="preserve">مستخلص ختامي يسوّي الكميات النهائية للعقد</w:t>
      </w:r>
    </w:p>
    <w:p>
      <w:pPr>
        <w:numPr>
          <w:ilvl w:val="0"/>
          <w:numId w:val="1026"/>
        </w:numPr>
        <w:pStyle w:val="Compact"/>
      </w:pPr>
      <w:r>
        <w:t xml:space="preserve">طباعة المستخلص بنموذج الجهة المالكة</w:t>
      </w:r>
    </w:p>
    <w:p>
      <w:pPr>
        <w:pStyle w:val="FirstParagraph"/>
      </w:pPr>
      <w:r>
        <w:t xml:space="preserve">لا تُنشأ الفاتورة قبل اعتماد المستخلص إلكترونياً</w:t>
      </w:r>
    </w:p>
    <w:p>
      <w:pPr>
        <w:pStyle w:val="Heading3"/>
      </w:pPr>
      <w:bookmarkStart w:id="82" w:name="الدفعة-المقدمة-والمحتجزات"/>
      <w:r>
        <w:t xml:space="preserve">الدفعة المقدمة والمحتجزات</w:t>
      </w:r>
      <w:bookmarkEnd w:id="82"/>
    </w:p>
    <w:p>
      <w:pPr>
        <w:pStyle w:val="FirstParagraph"/>
      </w:pPr>
      <w:r>
        <w:t xml:space="preserve">خصومات محسوبة آلياً في كل مستخلص</w:t>
      </w:r>
    </w:p>
    <w:p>
      <w:pPr>
        <w:pStyle w:val="BodyText"/>
      </w:pPr>
      <w:r>
        <w:t xml:space="preserve">تُسجَّل الدفعة المقدمة عند توقيع العقد وتُسترد تدريجياً بنسبة ثابتة من كل مستخلص، بينما يُحتجز ضمان حسن التنفيذ حتى انقضاء فترة الصيانة.</w:t>
      </w:r>
    </w:p>
    <w:p>
      <w:pPr>
        <w:numPr>
          <w:ilvl w:val="0"/>
          <w:numId w:val="1027"/>
        </w:numPr>
        <w:pStyle w:val="Compact"/>
      </w:pPr>
      <w:r>
        <w:t xml:space="preserve">رصيد الدفعة المقدمة المتبقي ظاهر على العقد لحظياً</w:t>
      </w:r>
    </w:p>
    <w:p>
      <w:pPr>
        <w:numPr>
          <w:ilvl w:val="0"/>
          <w:numId w:val="1027"/>
        </w:numPr>
        <w:pStyle w:val="Compact"/>
      </w:pPr>
      <w:r>
        <w:t xml:space="preserve">رصيد المحتجزات لكل مشروع ولكل عميل</w:t>
      </w:r>
    </w:p>
    <w:p>
      <w:pPr>
        <w:numPr>
          <w:ilvl w:val="0"/>
          <w:numId w:val="1027"/>
        </w:numPr>
        <w:pStyle w:val="Compact"/>
      </w:pPr>
      <w:r>
        <w:t xml:space="preserve">تنبيه آلي عند استحقاق الإفراج عن المحتجزات</w:t>
      </w:r>
    </w:p>
    <w:p>
      <w:pPr>
        <w:numPr>
          <w:ilvl w:val="0"/>
          <w:numId w:val="1027"/>
        </w:numPr>
        <w:pStyle w:val="Compact"/>
      </w:pPr>
      <w:r>
        <w:t xml:space="preserve">ربط الضمانات البنكية بالعقد وتواريخ سريانها</w:t>
      </w:r>
    </w:p>
    <w:p>
      <w:pPr>
        <w:numPr>
          <w:ilvl w:val="0"/>
          <w:numId w:val="1027"/>
        </w:numPr>
        <w:pStyle w:val="Compact"/>
      </w:pPr>
      <w:r>
        <w:t xml:space="preserve">كشف بالمحتجزات المستحقة خلال الأشهر القادمة</w:t>
      </w:r>
    </w:p>
    <w:p>
      <w:pPr>
        <w:pStyle w:val="FirstParagraph"/>
      </w:pPr>
      <w:r>
        <w:t xml:space="preserve">المحتجزات القائمة سيولة مؤجلة تُتابعها الإدارة المالية</w:t>
      </w:r>
    </w:p>
    <w:p>
      <w:pPr>
        <w:pStyle w:val="Heading3"/>
      </w:pPr>
      <w:bookmarkStart w:id="83" w:name="آلية-احتساب-المستخلص-الدوري-خطوة-بخطوة"/>
      <w:r>
        <w:t xml:space="preserve">آلية احتساب المستخلص الدوري — خطوة بخطوة</w:t>
      </w:r>
      <w:bookmarkEnd w:id="83"/>
    </w:p>
    <w:p>
      <w:pPr>
        <w:pStyle w:val="FirstParagraph"/>
      </w:pPr>
      <w:r>
        <w:t xml:space="preserve">من قيمة الأعمال المنفذة إلى شيك تحت التحصيل، بلا حسابات يدوية خارج النظام</w:t>
      </w:r>
    </w:p>
    <w:p>
      <w:pPr>
        <w:pStyle w:val="BodyText"/>
      </w:pPr>
      <w:r>
        <w:t xml:space="preserve">الأعمال المنفذة</w:t>
      </w:r>
    </w:p>
    <w:p>
      <w:pPr>
        <w:pStyle w:val="BodyText"/>
      </w:pPr>
      <w:r>
        <w:t xml:space="preserve">نسبة إنجاز كل بند × سعره الإفرادي</w:t>
      </w:r>
    </w:p>
    <w:p>
      <w:pPr>
        <w:pStyle w:val="BodyText"/>
      </w:pPr>
      <w:r>
        <w:t xml:space="preserve">أوامر التغيير</w:t>
      </w:r>
    </w:p>
    <w:p>
      <w:pPr>
        <w:pStyle w:val="BodyText"/>
      </w:pPr>
      <w:r>
        <w:t xml:space="preserve">تُضاف الأوامر المعتمدة حتى تاريخ الدورة</w:t>
      </w:r>
    </w:p>
    <w:p>
      <w:pPr>
        <w:pStyle w:val="BodyText"/>
      </w:pPr>
      <w:r>
        <w:t xml:space="preserve">استرداد الدفعة</w:t>
      </w:r>
    </w:p>
    <w:p>
      <w:pPr>
        <w:pStyle w:val="BodyText"/>
      </w:pPr>
      <w:r>
        <w:t xml:space="preserve">خصم نسبة الدفعة المقدمة</w:t>
      </w:r>
    </w:p>
    <w:p>
      <w:pPr>
        <w:pStyle w:val="BodyText"/>
      </w:pPr>
      <w:r>
        <w:t xml:space="preserve">المحتجزات</w:t>
      </w:r>
    </w:p>
    <w:p>
      <w:pPr>
        <w:pStyle w:val="BodyText"/>
      </w:pPr>
      <w:r>
        <w:t xml:space="preserve">خصم ضمان حسن التنفيذ</w:t>
      </w:r>
    </w:p>
    <w:p>
      <w:pPr>
        <w:pStyle w:val="BodyText"/>
      </w:pPr>
      <w:r>
        <w:t xml:space="preserve">صافي المستحق</w:t>
      </w:r>
    </w:p>
    <w:p>
      <w:pPr>
        <w:pStyle w:val="BodyText"/>
      </w:pPr>
      <w:r>
        <w:t xml:space="preserve">القيمة الواجبة السداد هذه الدورة</w:t>
      </w:r>
    </w:p>
    <w:p>
      <w:pPr>
        <w:pStyle w:val="BodyText"/>
      </w:pPr>
      <w:r>
        <w:t xml:space="preserve">ذمة وشيك</w:t>
      </w:r>
    </w:p>
    <w:p>
      <w:pPr>
        <w:pStyle w:val="BodyText"/>
      </w:pPr>
      <w:r>
        <w:t xml:space="preserve">ذمة مدينة يقابلها شيك تحت التحصيل</w:t>
      </w:r>
    </w:p>
    <w:p>
      <w:pPr>
        <w:pStyle w:val="BodyText"/>
      </w:pPr>
      <w:r>
        <w:t xml:space="preserve">اعتماد متدرج</w:t>
      </w:r>
    </w:p>
    <w:p>
      <w:pPr>
        <w:pStyle w:val="BodyText"/>
      </w:pPr>
      <w:r>
        <w:t xml:space="preserve">لا يُرحَّل المستخلص قبل اعتماد المهندس والمالية</w:t>
      </w:r>
    </w:p>
    <w:p>
      <w:pPr>
        <w:pStyle w:val="BodyText"/>
      </w:pPr>
      <w:r>
        <w:t xml:space="preserve">كميات مقفلة</w:t>
      </w:r>
    </w:p>
    <w:p>
      <w:pPr>
        <w:pStyle w:val="BodyText"/>
      </w:pPr>
      <w:r>
        <w:t xml:space="preserve">بنود العقد لا تُعدَّل إلا بأمر تغيير موثّق</w:t>
      </w:r>
    </w:p>
    <w:p>
      <w:pPr>
        <w:pStyle w:val="BodyText"/>
      </w:pPr>
      <w:r>
        <w:t xml:space="preserve">دورات محددة</w:t>
      </w:r>
    </w:p>
    <w:p>
      <w:pPr>
        <w:pStyle w:val="BodyText"/>
      </w:pPr>
      <w:r>
        <w:t xml:space="preserve">استحقاق كل مستخلص معرَّف مسبقاً على العقد</w:t>
      </w:r>
    </w:p>
    <w:p>
      <w:pPr>
        <w:pStyle w:val="BodyText"/>
      </w:pPr>
      <w:r>
        <w:t xml:space="preserve">مرفقات إلزامية</w:t>
      </w:r>
    </w:p>
    <w:p>
      <w:pPr>
        <w:pStyle w:val="BodyText"/>
      </w:pPr>
      <w:r>
        <w:t xml:space="preserve">محضر الحصر وصور التنفيذ مرفقة بكل مستخلص</w:t>
      </w:r>
    </w:p>
    <w:p>
      <w:pPr>
        <w:pStyle w:val="BodyText"/>
      </w:pPr>
      <w:r>
        <w:t xml:space="preserve">ملاحظة على التهيئة</w:t>
      </w:r>
    </w:p>
    <w:p>
      <w:pPr>
        <w:pStyle w:val="BodyText"/>
      </w:pPr>
      <w:r>
        <w:t xml:space="preserve">نسب الدفعة المقدمة والمحتجزات وفترة الصيانة تُعرَّف على مستوى كل عقد على حدة، لأن شروط الجهات الحكومية تختلف عن شروط المقاولين الرئيسيين والقطاع الخاص.</w:t>
      </w:r>
    </w:p>
    <w:p>
      <w:pPr>
        <w:pStyle w:val="BodyText"/>
      </w:pPr>
      <w:r>
        <w:t xml:space="preserve">وحدة المبيعات</w:t>
      </w:r>
    </w:p>
    <w:p>
      <w:pPr>
        <w:pStyle w:val="Heading3"/>
      </w:pPr>
      <w:bookmarkStart w:id="84" w:name="التقارير-والتحليلات-1"/>
      <w:r>
        <w:t xml:space="preserve">التقارير والتحليلات</w:t>
      </w:r>
      <w:bookmarkEnd w:id="84"/>
    </w:p>
    <w:p>
      <w:pPr>
        <w:pStyle w:val="FirstParagraph"/>
      </w:pPr>
      <w:r>
        <w:t xml:space="preserve">تقارير مبنية على مركز تكلفة كل مشروع، تُقرأ مجمّعة على مستوى الشركة أو مفصّلة لكل مشروع على حدة — بما يحقق مطلب الإدارة في السيطرة المالية الكاملة.</w:t>
      </w:r>
    </w:p>
    <w:p>
      <w:pPr>
        <w:pStyle w:val="Heading3"/>
      </w:pPr>
      <w:bookmarkStart w:id="85" w:name="قيمة-العقود-الموقعة"/>
      <w:r>
        <w:t xml:space="preserve">قيمة العقود الموقّعة</w:t>
      </w:r>
      <w:bookmarkEnd w:id="85"/>
    </w:p>
    <w:p>
      <w:pPr>
        <w:pStyle w:val="FirstParagraph"/>
      </w:pPr>
      <w:r>
        <w:t xml:space="preserve">محفظة الأعمال القائمة والمتبقية</w:t>
      </w:r>
    </w:p>
    <w:p>
      <w:pPr>
        <w:pStyle w:val="BodyText"/>
      </w:pPr>
      <w:r>
        <w:t xml:space="preserve">تقرير يجمع قيمة العقود الموقّعة خلال الفترة، موزّعة على المشاريع والجهات المالكة، مع فصل القيمة الأصلية عن قيمة أوامر التغيير المعتمدة.</w:t>
      </w:r>
    </w:p>
    <w:p>
      <w:pPr>
        <w:numPr>
          <w:ilvl w:val="0"/>
          <w:numId w:val="1028"/>
        </w:numPr>
        <w:pStyle w:val="Compact"/>
      </w:pPr>
      <w:r>
        <w:t xml:space="preserve">إجمالي قيمة العقود بعملة KWD لكل فترة</w:t>
      </w:r>
    </w:p>
    <w:p>
      <w:pPr>
        <w:numPr>
          <w:ilvl w:val="0"/>
          <w:numId w:val="1028"/>
        </w:numPr>
        <w:pStyle w:val="Compact"/>
      </w:pPr>
      <w:r>
        <w:t xml:space="preserve">توزيع بين المناقصات الحكومية والقطاع الخاص</w:t>
      </w:r>
    </w:p>
    <w:p>
      <w:pPr>
        <w:numPr>
          <w:ilvl w:val="0"/>
          <w:numId w:val="1028"/>
        </w:numPr>
        <w:pStyle w:val="Compact"/>
      </w:pPr>
      <w:r>
        <w:t xml:space="preserve">الأعمال المتبقية غير المنفذة من كل عقد</w:t>
      </w:r>
    </w:p>
    <w:p>
      <w:pPr>
        <w:numPr>
          <w:ilvl w:val="0"/>
          <w:numId w:val="1028"/>
        </w:numPr>
        <w:pStyle w:val="Compact"/>
      </w:pPr>
      <w:r>
        <w:t xml:space="preserve">مقارنة العروض المقدَّمة بالعقود المرساة</w:t>
      </w:r>
    </w:p>
    <w:p>
      <w:pPr>
        <w:numPr>
          <w:ilvl w:val="0"/>
          <w:numId w:val="1028"/>
        </w:numPr>
        <w:pStyle w:val="Compact"/>
      </w:pPr>
      <w:r>
        <w:t xml:space="preserve">متوسط قيمة العقد ومعدل الترسية للعروض المقدمة</w:t>
      </w:r>
    </w:p>
    <w:p>
      <w:pPr>
        <w:pStyle w:val="FirstParagraph"/>
      </w:pPr>
      <w:r>
        <w:t xml:space="preserve">يُقرأ التقرير مجمّعاً أو مفصّلاً لكل مشروع</w:t>
      </w:r>
    </w:p>
    <w:p>
      <w:pPr>
        <w:pStyle w:val="Heading3"/>
      </w:pPr>
      <w:bookmarkStart w:id="86" w:name="المفوتر-مقابل-المنفذ"/>
      <w:r>
        <w:t xml:space="preserve">المفوتر مقابل المنفَّذ</w:t>
      </w:r>
      <w:bookmarkEnd w:id="86"/>
    </w:p>
    <w:p>
      <w:pPr>
        <w:pStyle w:val="FirstParagraph"/>
      </w:pPr>
      <w:r>
        <w:t xml:space="preserve">نسبة الإنجاز المالي لكل مشروع</w:t>
      </w:r>
    </w:p>
    <w:p>
      <w:pPr>
        <w:pStyle w:val="BodyText"/>
      </w:pPr>
      <w:r>
        <w:t xml:space="preserve">يكشف التقرير الفجوة بين ما نُفِّذ فعلياً في الموقع وما تمت فوترته في المستخلصات — وهي الفجوة التي تستنزف السيولة إن أُهملت.</w:t>
      </w:r>
    </w:p>
    <w:p>
      <w:pPr>
        <w:numPr>
          <w:ilvl w:val="0"/>
          <w:numId w:val="1029"/>
        </w:numPr>
        <w:pStyle w:val="Compact"/>
      </w:pPr>
      <w:r>
        <w:t xml:space="preserve">قيمة الأعمال المنفذة غير المفوترة لكل مشروع</w:t>
      </w:r>
    </w:p>
    <w:p>
      <w:pPr>
        <w:numPr>
          <w:ilvl w:val="0"/>
          <w:numId w:val="1029"/>
        </w:numPr>
        <w:pStyle w:val="Compact"/>
      </w:pPr>
      <w:r>
        <w:t xml:space="preserve">نسبة الإنجاز المالي مقابل نسبة الإنجاز الفني</w:t>
      </w:r>
    </w:p>
    <w:p>
      <w:pPr>
        <w:numPr>
          <w:ilvl w:val="0"/>
          <w:numId w:val="1029"/>
        </w:numPr>
        <w:pStyle w:val="Compact"/>
      </w:pPr>
      <w:r>
        <w:t xml:space="preserve">مستخلصات مقدَّمة بانتظار اعتماد المالك</w:t>
      </w:r>
    </w:p>
    <w:p>
      <w:pPr>
        <w:numPr>
          <w:ilvl w:val="0"/>
          <w:numId w:val="1029"/>
        </w:numPr>
        <w:pStyle w:val="Compact"/>
      </w:pPr>
      <w:r>
        <w:t xml:space="preserve">تأخر إصدار المستخلص عن دورته المحددة</w:t>
      </w:r>
    </w:p>
    <w:p>
      <w:pPr>
        <w:numPr>
          <w:ilvl w:val="0"/>
          <w:numId w:val="1029"/>
        </w:numPr>
        <w:pStyle w:val="Compact"/>
      </w:pPr>
      <w:r>
        <w:t xml:space="preserve">توقع التدفق النقدي الداخل من المستخلصات المتوقعة</w:t>
      </w:r>
    </w:p>
    <w:p>
      <w:pPr>
        <w:pStyle w:val="FirstParagraph"/>
      </w:pPr>
      <w:r>
        <w:t xml:space="preserve">تنبيه إداري عند اتساع الفجوة عن الحد المسموح</w:t>
      </w:r>
    </w:p>
    <w:p>
      <w:pPr>
        <w:pStyle w:val="Heading3"/>
      </w:pPr>
      <w:bookmarkStart w:id="87" w:name="المحتجزات-والتحصيل"/>
      <w:r>
        <w:t xml:space="preserve">المحتجزات والتحصيل</w:t>
      </w:r>
      <w:bookmarkEnd w:id="87"/>
    </w:p>
    <w:p>
      <w:pPr>
        <w:pStyle w:val="FirstParagraph"/>
      </w:pPr>
      <w:r>
        <w:t xml:space="preserve">أعمار الذمم ومتابعة الشيكات</w:t>
      </w:r>
    </w:p>
    <w:p>
      <w:pPr>
        <w:pStyle w:val="BodyText"/>
      </w:pPr>
      <w:r>
        <w:t xml:space="preserve">يعرض التقرير رصيد المحتجزات القائمة وتواريخ استحقاق الإفراج عنها، إلى جانب أعمار ذمم العملاء وحالة كل شيك مستلم حتى تحصيله.</w:t>
      </w:r>
    </w:p>
    <w:p>
      <w:pPr>
        <w:numPr>
          <w:ilvl w:val="0"/>
          <w:numId w:val="1030"/>
        </w:numPr>
        <w:pStyle w:val="Compact"/>
      </w:pPr>
      <w:r>
        <w:t xml:space="preserve">المحتجزات القائمة لكل مشروع ولكل عميل</w:t>
      </w:r>
    </w:p>
    <w:p>
      <w:pPr>
        <w:numPr>
          <w:ilvl w:val="0"/>
          <w:numId w:val="1030"/>
        </w:numPr>
        <w:pStyle w:val="Compact"/>
      </w:pPr>
      <w:r>
        <w:t xml:space="preserve">أعمار الذمم المدينة بفترات 30 و 60 و 90 يوماً</w:t>
      </w:r>
    </w:p>
    <w:p>
      <w:pPr>
        <w:numPr>
          <w:ilvl w:val="0"/>
          <w:numId w:val="1030"/>
        </w:numPr>
        <w:pStyle w:val="Compact"/>
      </w:pPr>
      <w:r>
        <w:t xml:space="preserve">شيكات مستلمة، مودعة، محصلة، مرتجعة</w:t>
      </w:r>
    </w:p>
    <w:p>
      <w:pPr>
        <w:numPr>
          <w:ilvl w:val="0"/>
          <w:numId w:val="1030"/>
        </w:numPr>
        <w:pStyle w:val="Compact"/>
      </w:pPr>
      <w:r>
        <w:t xml:space="preserve">متوسط فترة التحصيل من اعتماد المستخلص</w:t>
      </w:r>
    </w:p>
    <w:p>
      <w:pPr>
        <w:numPr>
          <w:ilvl w:val="0"/>
          <w:numId w:val="1030"/>
        </w:numPr>
        <w:pStyle w:val="Compact"/>
      </w:pPr>
      <w:r>
        <w:t xml:space="preserve">نسبة الشيكات المرتجعة إلى إجمالي المحصل</w:t>
      </w:r>
    </w:p>
    <w:p>
      <w:pPr>
        <w:pStyle w:val="FirstParagraph"/>
      </w:pPr>
      <w:r>
        <w:t xml:space="preserve">كل شيك مرتبط بمشروعه وحسابه البنكي</w:t>
      </w:r>
    </w:p>
    <w:p>
      <w:pPr>
        <w:pStyle w:val="Heading3"/>
      </w:pPr>
      <w:bookmarkStart w:id="88" w:name="الإيراد-وربحية-المشروع"/>
      <w:r>
        <w:t xml:space="preserve">الإيراد وربحية المشروع</w:t>
      </w:r>
      <w:bookmarkEnd w:id="88"/>
    </w:p>
    <w:p>
      <w:pPr>
        <w:pStyle w:val="FirstParagraph"/>
      </w:pPr>
      <w:r>
        <w:t xml:space="preserve">إيراد معترف به لكل مركز تكلفة</w:t>
      </w:r>
    </w:p>
    <w:p>
      <w:pPr>
        <w:pStyle w:val="BodyText"/>
      </w:pPr>
      <w:r>
        <w:t xml:space="preserve">لأن كل مستخلص يحمل مركز تكلفة مشروعه، يظهر الإيراد المعترف به مقابل التكاليف المحمّلة على المشروع نفسه، فتُقرأ الربحية الحقيقية بلا توزيعات تقديرية.</w:t>
      </w:r>
    </w:p>
    <w:p>
      <w:pPr>
        <w:numPr>
          <w:ilvl w:val="0"/>
          <w:numId w:val="1031"/>
        </w:numPr>
        <w:pStyle w:val="Compact"/>
      </w:pPr>
      <w:r>
        <w:t xml:space="preserve">إيراد معترف به لكل مشروع خلال الفترة</w:t>
      </w:r>
    </w:p>
    <w:p>
      <w:pPr>
        <w:numPr>
          <w:ilvl w:val="0"/>
          <w:numId w:val="1031"/>
        </w:numPr>
        <w:pStyle w:val="Compact"/>
      </w:pPr>
      <w:r>
        <w:t xml:space="preserve">هامش الربح لكل مشروع ولكل قسم أعمال</w:t>
      </w:r>
    </w:p>
    <w:p>
      <w:pPr>
        <w:numPr>
          <w:ilvl w:val="0"/>
          <w:numId w:val="1031"/>
        </w:numPr>
        <w:pStyle w:val="Compact"/>
      </w:pPr>
      <w:r>
        <w:t xml:space="preserve">مقارنة الهامش المخطط بالهامش المحقق</w:t>
      </w:r>
    </w:p>
    <w:p>
      <w:pPr>
        <w:numPr>
          <w:ilvl w:val="0"/>
          <w:numId w:val="1031"/>
        </w:numPr>
        <w:pStyle w:val="Compact"/>
      </w:pPr>
      <w:r>
        <w:t xml:space="preserve">ترتيب المشاريع من الأعلى ربحية إلى الأدنى</w:t>
      </w:r>
    </w:p>
    <w:p>
      <w:pPr>
        <w:numPr>
          <w:ilvl w:val="0"/>
          <w:numId w:val="1031"/>
        </w:numPr>
        <w:pStyle w:val="Compact"/>
      </w:pPr>
      <w:r>
        <w:t xml:space="preserve">تحليل الإيراد حسب نوع العميل: حكومي أو خاص</w:t>
      </w:r>
    </w:p>
    <w:p>
      <w:pPr>
        <w:pStyle w:val="FirstParagraph"/>
      </w:pPr>
      <w:r>
        <w:t xml:space="preserve">يعتمد التقرير على Analytic Accounting لكل مشروع</w:t>
      </w:r>
    </w:p>
    <w:p>
      <w:pPr>
        <w:pStyle w:val="Heading3"/>
      </w:pPr>
      <w:bookmarkStart w:id="89" w:name="X0bafc2e61012c764977b5b8f98d88ea1a191299"/>
      <w:r>
        <w:t xml:space="preserve">مؤشرات الأداء الرئيسية — لوحة مبيعات وعقود لؤلؤة الشايع</w:t>
      </w:r>
      <w:bookmarkEnd w:id="89"/>
    </w:p>
    <w:p>
      <w:pPr>
        <w:pStyle w:val="FirstParagraph"/>
      </w:pPr>
      <w:r>
        <w:t xml:space="preserve">مؤشرات حيّة تظهر للإدارة عند تسجيل الدخول، قابلة للتصفية حسب المشروع أو الفترة</w:t>
      </w:r>
    </w:p>
    <w:p>
      <w:pPr>
        <w:pStyle w:val="BodyText"/>
      </w:pPr>
      <w:r>
        <w:t xml:space="preserve">KWD</w:t>
      </w:r>
    </w:p>
    <w:p>
      <w:pPr>
        <w:pStyle w:val="BodyText"/>
      </w:pPr>
      <w:r>
        <w:t xml:space="preserve">قيمة العقود الموقّعة</w:t>
      </w:r>
    </w:p>
    <w:p>
      <w:pPr>
        <w:pStyle w:val="BodyText"/>
      </w:pPr>
      <w:r>
        <w:t xml:space="preserve">إجمالي الفترة الحالية</w:t>
      </w:r>
    </w:p>
    <w:p>
      <w:pPr>
        <w:pStyle w:val="BodyText"/>
      </w:pPr>
      <w:r>
        <w:t xml:space="preserve">KWD</w:t>
      </w:r>
    </w:p>
    <w:p>
      <w:pPr>
        <w:pStyle w:val="BodyText"/>
      </w:pPr>
      <w:r>
        <w:t xml:space="preserve">المفوتر مقابل المنفَّذ</w:t>
      </w:r>
    </w:p>
    <w:p>
      <w:pPr>
        <w:pStyle w:val="BodyText"/>
      </w:pPr>
      <w:r>
        <w:t xml:space="preserve">فجوة الفوترة القائمة</w:t>
      </w:r>
    </w:p>
    <w:p>
      <w:pPr>
        <w:pStyle w:val="BodyText"/>
      </w:pPr>
      <w:r>
        <w:t xml:space="preserve">نسبة الإنجاز المالي</w:t>
      </w:r>
    </w:p>
    <w:p>
      <w:pPr>
        <w:pStyle w:val="BodyText"/>
      </w:pPr>
      <w:r>
        <w:t xml:space="preserve">لكل مشروع على حدة</w:t>
      </w:r>
    </w:p>
    <w:p>
      <w:pPr>
        <w:pStyle w:val="BodyText"/>
      </w:pPr>
      <w:r>
        <w:t xml:space="preserve">KWD</w:t>
      </w:r>
    </w:p>
    <w:p>
      <w:pPr>
        <w:pStyle w:val="BodyText"/>
      </w:pPr>
      <w:r>
        <w:t xml:space="preserve">المحتجزات القائمة</w:t>
      </w:r>
    </w:p>
    <w:p>
      <w:pPr>
        <w:pStyle w:val="BodyText"/>
      </w:pPr>
      <w:r>
        <w:t xml:space="preserve">سيولة مؤجلة لدى الملّاك</w:t>
      </w:r>
    </w:p>
    <w:p>
      <w:pPr>
        <w:pStyle w:val="BodyText"/>
      </w:pPr>
      <w:r>
        <w:t xml:space="preserve">يوم</w:t>
      </w:r>
    </w:p>
    <w:p>
      <w:pPr>
        <w:pStyle w:val="BodyText"/>
      </w:pPr>
      <w:r>
        <w:t xml:space="preserve">متوسط فترة التحصيل</w:t>
      </w:r>
    </w:p>
    <w:p>
      <w:pPr>
        <w:pStyle w:val="BodyText"/>
      </w:pPr>
      <w:r>
        <w:t xml:space="preserve">من الاعتماد حتى تحصيل الشيك</w:t>
      </w:r>
    </w:p>
    <w:p>
      <w:pPr>
        <w:pStyle w:val="BodyText"/>
      </w:pPr>
      <w:r>
        <w:t xml:space="preserve">KWD</w:t>
      </w:r>
    </w:p>
    <w:p>
      <w:pPr>
        <w:pStyle w:val="BodyText"/>
      </w:pPr>
      <w:r>
        <w:t xml:space="preserve">الإيراد المعترف به</w:t>
      </w:r>
    </w:p>
    <w:p>
      <w:pPr>
        <w:pStyle w:val="BodyText"/>
      </w:pPr>
      <w:r>
        <w:t xml:space="preserve">لكل مشروع خلال الفترة</w:t>
      </w:r>
    </w:p>
    <w:p>
      <w:pPr>
        <w:pStyle w:val="BodyText"/>
      </w:pPr>
      <w:r>
        <w:t xml:space="preserve">موقف العقود</w:t>
      </w:r>
    </w:p>
    <w:p>
      <w:pPr>
        <w:pStyle w:val="BodyText"/>
      </w:pPr>
      <w:r>
        <w:t xml:space="preserve">قيمة العقد والمنفَّذ والمفوتر والمتبقي لكل مشروع</w:t>
      </w:r>
    </w:p>
    <w:p>
      <w:pPr>
        <w:pStyle w:val="BodyText"/>
      </w:pPr>
      <w:r>
        <w:t xml:space="preserve">كشف المستخلصات</w:t>
      </w:r>
    </w:p>
    <w:p>
      <w:pPr>
        <w:pStyle w:val="BodyText"/>
      </w:pPr>
      <w:r>
        <w:t xml:space="preserve">مستخلصات الفترة وحالتها ومبالغها الصافية</w:t>
      </w:r>
    </w:p>
    <w:p>
      <w:pPr>
        <w:pStyle w:val="BodyText"/>
      </w:pPr>
      <w:r>
        <w:t xml:space="preserve">تقرير الشيكات</w:t>
      </w:r>
    </w:p>
    <w:p>
      <w:pPr>
        <w:pStyle w:val="BodyText"/>
      </w:pPr>
      <w:r>
        <w:t xml:space="preserve">شيكات تحت التحصيل حسب المشروع والبنك</w:t>
      </w:r>
    </w:p>
    <w:p>
      <w:pPr>
        <w:pStyle w:val="BodyText"/>
      </w:pPr>
      <w:r>
        <w:t xml:space="preserve">ربحية المشاريع</w:t>
      </w:r>
    </w:p>
    <w:p>
      <w:pPr>
        <w:pStyle w:val="BodyText"/>
      </w:pPr>
      <w:r>
        <w:t xml:space="preserve">إيراد وتكلفة وهامش كل مشروع في جدول واحد</w:t>
      </w:r>
    </w:p>
    <w:p>
      <w:pPr>
        <w:pStyle w:val="BodyText"/>
      </w:pPr>
      <w:r>
        <w:t xml:space="preserve">ملاحظة على التقارير</w:t>
      </w:r>
    </w:p>
    <w:p>
      <w:pPr>
        <w:pStyle w:val="BodyText"/>
      </w:pPr>
      <w:r>
        <w:t xml:space="preserve">صلاحيات العرض مبنية على الدور: مهندس المشروع يرى مشاريعه فقط، بينما ترى الإدارة الصورة المجمّعة لكل المشاريع. وتُصدَّر جميع التقارير بصيغة Excel أو PDF للعرض على مجلس الإدارة.</w:t>
      </w:r>
    </w:p>
    <w:p>
      <w:pPr>
        <w:pStyle w:val="BodyText"/>
      </w:pPr>
      <w:r>
        <w:t xml:space="preserve">وحدة المبيعات</w:t>
      </w:r>
    </w:p>
    <w:p>
      <w:pPr>
        <w:pStyle w:val="Heading3"/>
      </w:pPr>
      <w:bookmarkStart w:id="90" w:name="القيمة-المضافة-والتكامل-1"/>
      <w:r>
        <w:t xml:space="preserve">القيمة المضافة والتكامل</w:t>
      </w:r>
      <w:bookmarkEnd w:id="90"/>
    </w:p>
    <w:p>
      <w:pPr>
        <w:pStyle w:val="FirstParagraph"/>
      </w:pPr>
      <w:r>
        <w:t xml:space="preserve">وحدة المبيعات ليست جزيرة منفصلة: العقد يفتح المشروع، والمشروع يغذّي المشتريات والمخازن بالمتطلبات، والمستخلص يغذّي المحاسبة والتحصيلات — والكل يظهر في لوحات المعلومات وتقارير الربحية.</w:t>
      </w:r>
    </w:p>
    <w:p>
      <w:pPr>
        <w:pStyle w:val="Heading3"/>
      </w:pPr>
      <w:bookmarkStart w:id="91" w:name="التكامل-مع-بقية-الوحدات"/>
      <w:r>
        <w:t xml:space="preserve">التكامل مع بقية الوحدات</w:t>
      </w:r>
      <w:bookmarkEnd w:id="91"/>
    </w:p>
    <w:p>
      <w:pPr>
        <w:pStyle w:val="FirstParagraph"/>
      </w:pPr>
      <w:r>
        <w:t xml:space="preserve">منظومة واحدة بلا إدخال مزدوج</w:t>
      </w:r>
    </w:p>
    <w:p>
      <w:pPr>
        <w:pStyle w:val="BodyText"/>
      </w:pPr>
      <w:r>
        <w:t xml:space="preserve">عند توقيع العقد تنطلق سلسلة تشغيلية كاملة تلقائياً، فلا يُعاد إدخال أي بيان مرتين ولا تضيع خطوة بين إدارة وأخرى.</w:t>
      </w:r>
    </w:p>
    <w:p>
      <w:pPr>
        <w:numPr>
          <w:ilvl w:val="0"/>
          <w:numId w:val="1032"/>
        </w:numPr>
        <w:pStyle w:val="Compact"/>
      </w:pPr>
      <w:r>
        <w:t xml:space="preserve">المشاريع: فتح مشروع بمركز تكلفة ومهام تنفيذية</w:t>
      </w:r>
    </w:p>
    <w:p>
      <w:pPr>
        <w:numPr>
          <w:ilvl w:val="0"/>
          <w:numId w:val="1032"/>
        </w:numPr>
        <w:pStyle w:val="Compact"/>
      </w:pPr>
      <w:r>
        <w:t xml:space="preserve">المشتريات: متطلبات المواد تُشتق من بنود جدول الكميات</w:t>
      </w:r>
    </w:p>
    <w:p>
      <w:pPr>
        <w:numPr>
          <w:ilvl w:val="0"/>
          <w:numId w:val="1032"/>
        </w:numPr>
        <w:pStyle w:val="Compact"/>
      </w:pPr>
      <w:r>
        <w:t xml:space="preserve">المخازن: حجز وصرف المواد على المشروع مباشرة</w:t>
      </w:r>
    </w:p>
    <w:p>
      <w:pPr>
        <w:numPr>
          <w:ilvl w:val="0"/>
          <w:numId w:val="1032"/>
        </w:numPr>
        <w:pStyle w:val="Compact"/>
      </w:pPr>
      <w:r>
        <w:t xml:space="preserve">المحاسبة: قيد الإيراد والذمة من المستخلص المعتمد</w:t>
      </w:r>
    </w:p>
    <w:p>
      <w:pPr>
        <w:numPr>
          <w:ilvl w:val="0"/>
          <w:numId w:val="1032"/>
        </w:numPr>
        <w:pStyle w:val="Compact"/>
      </w:pPr>
      <w:r>
        <w:t xml:space="preserve">الصيانة: تكاليف المعدات تُحمَّل على مشروعها</w:t>
      </w:r>
    </w:p>
    <w:p>
      <w:pPr>
        <w:pStyle w:val="FirstParagraph"/>
      </w:pPr>
      <w:r>
        <w:t xml:space="preserve">الموارد البشرية تستقبل احتياج المشروع من المهندسين والعمالة</w:t>
      </w:r>
    </w:p>
    <w:p>
      <w:pPr>
        <w:pStyle w:val="Heading3"/>
      </w:pPr>
      <w:bookmarkStart w:id="92" w:name="مركز-تكلفة-لكل-مشروع"/>
      <w:r>
        <w:t xml:space="preserve">مركز تكلفة لكل مشروع</w:t>
      </w:r>
      <w:bookmarkEnd w:id="92"/>
    </w:p>
    <w:p>
      <w:pPr>
        <w:pStyle w:val="FirstParagraph"/>
      </w:pPr>
      <w:r>
        <w:t xml:space="preserve">كل موقع فرع مستقل بدفاتره</w:t>
      </w:r>
    </w:p>
    <w:p>
      <w:pPr>
        <w:pStyle w:val="BodyText"/>
      </w:pPr>
      <w:r>
        <w:t xml:space="preserve">كل عرض وكل عقد وكل مستخلص يحمل مركز تكلفة مشروعه، فتُقيَّد الإيرادات على حساب المشروع مباشرة وتُقرأ نتيجته منفصلة عن بقية المشاريع.</w:t>
      </w:r>
    </w:p>
    <w:p>
      <w:pPr>
        <w:numPr>
          <w:ilvl w:val="0"/>
          <w:numId w:val="1033"/>
        </w:numPr>
        <w:pStyle w:val="Compact"/>
      </w:pPr>
      <w:r>
        <w:t xml:space="preserve">حساب أرباح وخسائر مستقل لكل مشروع</w:t>
      </w:r>
    </w:p>
    <w:p>
      <w:pPr>
        <w:numPr>
          <w:ilvl w:val="0"/>
          <w:numId w:val="1033"/>
        </w:numPr>
        <w:pStyle w:val="Compact"/>
      </w:pPr>
      <w:r>
        <w:t xml:space="preserve">تجميع تلقائي لنتائج كل المشاريع على مستوى الشركة</w:t>
      </w:r>
    </w:p>
    <w:p>
      <w:pPr>
        <w:numPr>
          <w:ilvl w:val="0"/>
          <w:numId w:val="1033"/>
        </w:numPr>
        <w:pStyle w:val="Compact"/>
      </w:pPr>
      <w:r>
        <w:t xml:space="preserve">ربط الإيراد بالتكلفة على المستوى التحليلي نفسه</w:t>
      </w:r>
    </w:p>
    <w:p>
      <w:pPr>
        <w:numPr>
          <w:ilvl w:val="0"/>
          <w:numId w:val="1033"/>
        </w:numPr>
        <w:pStyle w:val="Compact"/>
      </w:pPr>
      <w:r>
        <w:t xml:space="preserve">لا حاجة لتوزيعات تقديرية أو جداول خارجية</w:t>
      </w:r>
    </w:p>
    <w:p>
      <w:pPr>
        <w:numPr>
          <w:ilvl w:val="0"/>
          <w:numId w:val="1033"/>
        </w:numPr>
        <w:pStyle w:val="Compact"/>
      </w:pPr>
      <w:r>
        <w:t xml:space="preserve">ميزانية تقديرية لكل مشروع تُقارن بالمصروف الفعلي</w:t>
      </w:r>
    </w:p>
    <w:p>
      <w:pPr>
        <w:pStyle w:val="FirstParagraph"/>
      </w:pPr>
      <w:r>
        <w:t xml:space="preserve">مقارنة مباشرة بين أداء المشاريع في تقرير واحد</w:t>
      </w:r>
    </w:p>
    <w:p>
      <w:pPr>
        <w:pStyle w:val="Heading3"/>
      </w:pPr>
      <w:bookmarkStart w:id="93" w:name="التحصيل-بالشيكات"/>
      <w:r>
        <w:t xml:space="preserve">التحصيل بالشيكات</w:t>
      </w:r>
      <w:bookmarkEnd w:id="93"/>
    </w:p>
    <w:p>
      <w:pPr>
        <w:pStyle w:val="FirstParagraph"/>
      </w:pPr>
      <w:r>
        <w:t xml:space="preserve">من المستخلص إلى الحساب البنكي</w:t>
      </w:r>
    </w:p>
    <w:p>
      <w:pPr>
        <w:pStyle w:val="BodyText"/>
      </w:pPr>
      <w:r>
        <w:t xml:space="preserve">المستخلص المعتمد يولّد ذمة مدينة على العميل، والشيك المستلم يُسجَّل مقابلها ويُتابَع في كل حالاته حتى يُقيَّد التحصيل على الحساب البنكي الصحيح.</w:t>
      </w:r>
    </w:p>
    <w:p>
      <w:pPr>
        <w:numPr>
          <w:ilvl w:val="0"/>
          <w:numId w:val="1034"/>
        </w:numPr>
        <w:pStyle w:val="Compact"/>
      </w:pPr>
      <w:r>
        <w:t xml:space="preserve">دفتر شيكات مخصص لكل مشروع وحسابه المالي</w:t>
      </w:r>
    </w:p>
    <w:p>
      <w:pPr>
        <w:numPr>
          <w:ilvl w:val="0"/>
          <w:numId w:val="1034"/>
        </w:numPr>
        <w:pStyle w:val="Compact"/>
      </w:pPr>
      <w:r>
        <w:t xml:space="preserve">حالات الشيك: مستلم، مودع، محصل، مرتجع</w:t>
      </w:r>
    </w:p>
    <w:p>
      <w:pPr>
        <w:numPr>
          <w:ilvl w:val="0"/>
          <w:numId w:val="1034"/>
        </w:numPr>
        <w:pStyle w:val="Compact"/>
      </w:pPr>
      <w:r>
        <w:t xml:space="preserve">توزيع التحصيلات على الحسابات البنكية الأربعة</w:t>
      </w:r>
    </w:p>
    <w:p>
      <w:pPr>
        <w:numPr>
          <w:ilvl w:val="0"/>
          <w:numId w:val="1034"/>
        </w:numPr>
        <w:pStyle w:val="Compact"/>
      </w:pPr>
      <w:r>
        <w:t xml:space="preserve">تنبيه آلي قبل تاريخ استحقاق كل شيك</w:t>
      </w:r>
    </w:p>
    <w:p>
      <w:pPr>
        <w:numPr>
          <w:ilvl w:val="0"/>
          <w:numId w:val="1034"/>
        </w:numPr>
        <w:pStyle w:val="Compact"/>
      </w:pPr>
      <w:r>
        <w:t xml:space="preserve">تسوية بنكية منفصلة لكل حساب من الحسابات الأربعة</w:t>
      </w:r>
    </w:p>
    <w:p>
      <w:pPr>
        <w:pStyle w:val="FirstParagraph"/>
      </w:pPr>
      <w:r>
        <w:t xml:space="preserve">سجل كامل لحركة العميل: فوترة، تحصيل، رصيد قائم</w:t>
      </w:r>
    </w:p>
    <w:p>
      <w:pPr>
        <w:pStyle w:val="Heading3"/>
      </w:pPr>
      <w:bookmarkStart w:id="94" w:name="تخصيص-لواقع-لؤلؤة-الشايع"/>
      <w:r>
        <w:t xml:space="preserve">تخصيص لواقع لؤلؤة الشايع</w:t>
      </w:r>
      <w:bookmarkEnd w:id="94"/>
    </w:p>
    <w:p>
      <w:pPr>
        <w:pStyle w:val="FirstParagraph"/>
      </w:pPr>
      <w:r>
        <w:t xml:space="preserve">مناقصات حكومية وضمانات ودورات اعتماد</w:t>
      </w:r>
    </w:p>
    <w:p>
      <w:pPr>
        <w:pStyle w:val="BodyText"/>
      </w:pPr>
      <w:r>
        <w:t xml:space="preserve">تُهيَّأ الوحدة على يد شركة ديكسور للحلول المتكاملة الحاسوبية ذ.م.م. لتطابق أسلوب عمل الشركة في المناقصات والعقود، لا لتفرض عليها أسلوباً جاهزاً.</w:t>
      </w:r>
    </w:p>
    <w:p>
      <w:pPr>
        <w:numPr>
          <w:ilvl w:val="0"/>
          <w:numId w:val="1035"/>
        </w:numPr>
        <w:pStyle w:val="Compact"/>
      </w:pPr>
      <w:r>
        <w:t xml:space="preserve">ملف مناقصة حكومية: كراسة، ضمان ابتدائي، موعد إغلاق</w:t>
      </w:r>
    </w:p>
    <w:p>
      <w:pPr>
        <w:numPr>
          <w:ilvl w:val="0"/>
          <w:numId w:val="1035"/>
        </w:numPr>
        <w:pStyle w:val="Compact"/>
      </w:pPr>
      <w:r>
        <w:t xml:space="preserve">ضمان نهائي وضمان دفعة مقدمة بتواريخ سريان</w:t>
      </w:r>
    </w:p>
    <w:p>
      <w:pPr>
        <w:numPr>
          <w:ilvl w:val="0"/>
          <w:numId w:val="1035"/>
        </w:numPr>
        <w:pStyle w:val="Compact"/>
      </w:pPr>
      <w:r>
        <w:t xml:space="preserve">دورة اعتماد متدرجة للعروض مرتفعة القيمة</w:t>
      </w:r>
    </w:p>
    <w:p>
      <w:pPr>
        <w:numPr>
          <w:ilvl w:val="0"/>
          <w:numId w:val="1035"/>
        </w:numPr>
        <w:pStyle w:val="Compact"/>
      </w:pPr>
      <w:r>
        <w:t xml:space="preserve">مستندات العرض والعقد والمستخلصات باللغة العربية</w:t>
      </w:r>
    </w:p>
    <w:p>
      <w:pPr>
        <w:numPr>
          <w:ilvl w:val="0"/>
          <w:numId w:val="1035"/>
        </w:numPr>
        <w:pStyle w:val="Compact"/>
      </w:pPr>
      <w:r>
        <w:t xml:space="preserve">صلاحيات مخصصة لكل دور: مهندس، محاسب، إدارة</w:t>
      </w:r>
    </w:p>
    <w:p>
      <w:pPr>
        <w:pStyle w:val="FirstParagraph"/>
      </w:pPr>
      <w:r>
        <w:t xml:space="preserve">استضافة سحابية على Odoo.sh لـ 15 مستخدماً معرّفاً</w:t>
      </w:r>
    </w:p>
    <w:p>
      <w:pPr>
        <w:pStyle w:val="Heading3"/>
      </w:pPr>
      <w:bookmarkStart w:id="95" w:name="X24fc240fd719d2d03e0bb27083e775529d3ffa9"/>
      <w:r>
        <w:t xml:space="preserve">العقد نقطة الانطلاق — كيف تتصل الوحدات عند التوقيع</w:t>
      </w:r>
      <w:bookmarkEnd w:id="95"/>
    </w:p>
    <w:p>
      <w:pPr>
        <w:pStyle w:val="FirstParagraph"/>
      </w:pPr>
      <w:r>
        <w:t xml:space="preserve">اعتماد واحد داخل وحدة المبيعات يحرّك سلسلة التشغيل الكاملة لدى شركة لؤلؤة الشايع</w:t>
      </w:r>
    </w:p>
    <w:p>
      <w:pPr>
        <w:pStyle w:val="BodyText"/>
      </w:pPr>
      <w:r>
        <w:t xml:space="preserve">توقيع العقد</w:t>
      </w:r>
    </w:p>
    <w:p>
      <w:pPr>
        <w:pStyle w:val="BodyText"/>
      </w:pPr>
      <w:r>
        <w:t xml:space="preserve">اعتماد العرض وتثبيت قيمة العقد</w:t>
      </w:r>
    </w:p>
    <w:p>
      <w:pPr>
        <w:pStyle w:val="BodyText"/>
      </w:pPr>
      <w:r>
        <w:t xml:space="preserve">فتح المشروع</w:t>
      </w:r>
    </w:p>
    <w:p>
      <w:pPr>
        <w:pStyle w:val="BodyText"/>
      </w:pPr>
      <w:r>
        <w:t xml:space="preserve">مركز تكلفة ومهام وجدول زمني</w:t>
      </w:r>
    </w:p>
    <w:p>
      <w:pPr>
        <w:pStyle w:val="BodyText"/>
      </w:pPr>
      <w:r>
        <w:t xml:space="preserve">المشتريات والمخازن</w:t>
      </w:r>
    </w:p>
    <w:p>
      <w:pPr>
        <w:pStyle w:val="BodyText"/>
      </w:pPr>
      <w:r>
        <w:t xml:space="preserve">متطلبات المواد والمعدات للموقع</w:t>
      </w:r>
    </w:p>
    <w:p>
      <w:pPr>
        <w:pStyle w:val="BodyText"/>
      </w:pPr>
      <w:r>
        <w:t xml:space="preserve">المستخلص المعتمد</w:t>
      </w:r>
    </w:p>
    <w:p>
      <w:pPr>
        <w:pStyle w:val="BodyText"/>
      </w:pPr>
      <w:r>
        <w:t xml:space="preserve">فوترة الإنجاز وقيد الإيراد</w:t>
      </w:r>
    </w:p>
    <w:p>
      <w:pPr>
        <w:pStyle w:val="BodyText"/>
      </w:pPr>
      <w:r>
        <w:t xml:space="preserve">التحصيل والربحية</w:t>
      </w:r>
    </w:p>
    <w:p>
      <w:pPr>
        <w:pStyle w:val="BodyText"/>
      </w:pPr>
      <w:r>
        <w:t xml:space="preserve">شيكات محصلة وربحية لكل مشروع</w:t>
      </w:r>
    </w:p>
    <w:p>
      <w:pPr>
        <w:pStyle w:val="BodyText"/>
      </w:pPr>
      <w:r>
        <w:t xml:space="preserve">رؤية موحّدة</w:t>
      </w:r>
    </w:p>
    <w:p>
      <w:pPr>
        <w:pStyle w:val="BodyText"/>
      </w:pPr>
      <w:r>
        <w:t xml:space="preserve">صورة مجمّعة لكل المشاريع وأخرى تفصيلية لكل مشروع</w:t>
      </w:r>
    </w:p>
    <w:p>
      <w:pPr>
        <w:pStyle w:val="BodyText"/>
      </w:pPr>
      <w:r>
        <w:t xml:space="preserve">إدخال مرة واحدة</w:t>
      </w:r>
    </w:p>
    <w:p>
      <w:pPr>
        <w:pStyle w:val="BodyText"/>
      </w:pPr>
      <w:r>
        <w:t xml:space="preserve">بند جدول الكميات يخدم العقد والمستخلص والتقرير</w:t>
      </w:r>
    </w:p>
    <w:p>
      <w:pPr>
        <w:pStyle w:val="BodyText"/>
      </w:pPr>
      <w:r>
        <w:t xml:space="preserve">حوكمة وصلاحيات</w:t>
      </w:r>
    </w:p>
    <w:p>
      <w:pPr>
        <w:pStyle w:val="BodyText"/>
      </w:pPr>
      <w:r>
        <w:t xml:space="preserve">كل اعتماد موثّق باسم صاحبه وتاريخ صدوره</w:t>
      </w:r>
    </w:p>
    <w:p>
      <w:pPr>
        <w:pStyle w:val="BodyText"/>
      </w:pPr>
      <w:r>
        <w:t xml:space="preserve">دعم مشمول</w:t>
      </w:r>
    </w:p>
    <w:p>
      <w:pPr>
        <w:pStyle w:val="BodyText"/>
      </w:pPr>
      <w:r>
        <w:t xml:space="preserve">دعم فني مشمول 12 شهراً بعد التشغيل</w:t>
      </w:r>
    </w:p>
    <w:p>
      <w:pPr>
        <w:pStyle w:val="BodyText"/>
      </w:pPr>
      <w:r>
        <w:t xml:space="preserve">DEXOR — Systems with Souls</w:t>
      </w:r>
    </w:p>
    <w:p>
      <w:pPr>
        <w:pStyle w:val="BodyText"/>
      </w:pPr>
      <w:r>
        <w:t xml:space="preserve">هذا العرض مُعدّ خصيصاً لشركة لؤلؤة الشايع للمقاولات العامة والإنشاءات في دولة الكويت. تُضبط دورات العمل والحقول والتكاملات على أسلوب عمل الشركة خلال فترة التنفيذ البالغة 8 إلى 10 أسابيع، يليها دعم فني مشمول لمدة 12 شهراً.</w:t>
      </w:r>
    </w:p>
    <w:p>
      <w:pPr>
        <w:pStyle w:val="Heading2"/>
      </w:pPr>
      <w:bookmarkStart w:id="96" w:name="Xf6d6fc662a67044b6ac63d6ac16df2a9621330c"/>
      <w:r>
        <w:t xml:space="preserve">وحدة المشتريات والتوريد (Purchase &amp; Procurement)</w:t>
      </w:r>
      <w:bookmarkEnd w:id="96"/>
    </w:p>
    <w:p>
      <w:pPr>
        <w:pStyle w:val="FirstParagraph"/>
      </w:pPr>
      <w:r>
        <w:t xml:space="preserve">وحدة المشتريات والتوريد</w:t>
      </w:r>
    </w:p>
    <w:p>
      <w:pPr>
        <w:pStyle w:val="Heading3"/>
      </w:pPr>
      <w:bookmarkStart w:id="97" w:name="المشتريات-والتوريد-نظرة-عامة"/>
      <w:r>
        <w:t xml:space="preserve">المشتريات والتوريد — نظرة عامة</w:t>
      </w:r>
      <w:bookmarkEnd w:id="97"/>
    </w:p>
    <w:p>
      <w:pPr>
        <w:pStyle w:val="FirstParagraph"/>
      </w:pPr>
      <w:r>
        <w:t xml:space="preserve">منظومة شراء مبنية على طريقة عمل المقاول العام في دولة الكويت — تبدأ الدورة من طلب المواد في الموقع وتنتهي بسداد المورد، وكل أمر شراء يحمل مركز تكلفة مشروعه فتُحمَّل التكلفة على المشروع الصحيح لحظة الاستلام.</w:t>
      </w:r>
    </w:p>
    <w:p>
      <w:pPr>
        <w:pStyle w:val="Heading3"/>
      </w:pPr>
      <w:bookmarkStart w:id="98" w:name="نظرة-عامة-على-الوحدة-1"/>
      <w:r>
        <w:t xml:space="preserve">نظرة عامة على الوحدة</w:t>
      </w:r>
      <w:bookmarkEnd w:id="98"/>
    </w:p>
    <w:p>
      <w:pPr>
        <w:pStyle w:val="FirstParagraph"/>
      </w:pPr>
      <w:r>
        <w:t xml:space="preserve">أساس دقة ربحية المشروع</w:t>
      </w:r>
    </w:p>
    <w:p>
      <w:pPr>
        <w:pStyle w:val="BodyText"/>
      </w:pPr>
      <w:r>
        <w:t xml:space="preserve">تُدار وحدة المشتريات والتوريد (Purchase &amp; Procurement) حول المشروع لا حول المخزن: لكل طلب موقعه، ولكل أمر شراء مركز تكلفته، ولكل مورد سجلّه السعري.</w:t>
      </w:r>
    </w:p>
    <w:p>
      <w:pPr>
        <w:numPr>
          <w:ilvl w:val="0"/>
          <w:numId w:val="1036"/>
        </w:numPr>
        <w:pStyle w:val="Compact"/>
      </w:pPr>
      <w:r>
        <w:t xml:space="preserve">ربط كل أمر شراء بمشروع ومركز تكلفة إلزامي</w:t>
      </w:r>
    </w:p>
    <w:p>
      <w:pPr>
        <w:numPr>
          <w:ilvl w:val="0"/>
          <w:numId w:val="1036"/>
        </w:numPr>
        <w:pStyle w:val="Compact"/>
      </w:pPr>
      <w:r>
        <w:t xml:space="preserve">طلبات مواد تصدر من مهندسي المواقع مباشرة</w:t>
      </w:r>
    </w:p>
    <w:p>
      <w:pPr>
        <w:numPr>
          <w:ilvl w:val="0"/>
          <w:numId w:val="1036"/>
        </w:numPr>
        <w:pStyle w:val="Compact"/>
      </w:pPr>
      <w:r>
        <w:t xml:space="preserve">دورة اعتماد متدرجة حسب قيمة الطلب</w:t>
      </w:r>
    </w:p>
    <w:p>
      <w:pPr>
        <w:numPr>
          <w:ilvl w:val="0"/>
          <w:numId w:val="1036"/>
        </w:numPr>
        <w:pStyle w:val="Compact"/>
      </w:pPr>
      <w:r>
        <w:t xml:space="preserve">تكامل كامل مع المخازن والمحاسبة وحسابات المشاريع</w:t>
      </w:r>
    </w:p>
    <w:p>
      <w:pPr>
        <w:pStyle w:val="FirstParagraph"/>
      </w:pPr>
      <w:r>
        <w:t xml:space="preserve">التكلفة تُرحَّل إلى المشروع لحظة الاستلام لا لحظة الفاتورة</w:t>
      </w:r>
    </w:p>
    <w:p>
      <w:pPr>
        <w:pStyle w:val="Heading3"/>
      </w:pPr>
      <w:bookmarkStart w:id="99" w:name="طلبات-المواد-من-المواقع"/>
      <w:r>
        <w:t xml:space="preserve">طلبات المواد من المواقع</w:t>
      </w:r>
      <w:bookmarkEnd w:id="99"/>
    </w:p>
    <w:p>
      <w:pPr>
        <w:pStyle w:val="FirstParagraph"/>
      </w:pPr>
      <w:r>
        <w:t xml:space="preserve">بداية الدورة في موقع التنفيذ</w:t>
      </w:r>
    </w:p>
    <w:p>
      <w:pPr>
        <w:pStyle w:val="BodyText"/>
      </w:pPr>
      <w:r>
        <w:t xml:space="preserve">لا يبدأ الشراء من مكتب المشتريات بل من الموقع: يسجّل المهندس احتياجه بالكميات وتاريخ الاحتياج، فيصل الطلب معتمداً ومربوطاً بمشروعه.</w:t>
      </w:r>
    </w:p>
    <w:p>
      <w:pPr>
        <w:numPr>
          <w:ilvl w:val="0"/>
          <w:numId w:val="1037"/>
        </w:numPr>
        <w:pStyle w:val="Compact"/>
      </w:pPr>
      <w:r>
        <w:t xml:space="preserve">طلب مواد إلكتروني لكل موقع بالكمية وتاريخ الاحتياج</w:t>
      </w:r>
    </w:p>
    <w:p>
      <w:pPr>
        <w:numPr>
          <w:ilvl w:val="0"/>
          <w:numId w:val="1037"/>
        </w:numPr>
        <w:pStyle w:val="Compact"/>
      </w:pPr>
      <w:r>
        <w:t xml:space="preserve">اعتماد مهندس المشروع شرط لتحويل الطلب للمشتريات</w:t>
      </w:r>
    </w:p>
    <w:p>
      <w:pPr>
        <w:numPr>
          <w:ilvl w:val="0"/>
          <w:numId w:val="1037"/>
        </w:numPr>
        <w:pStyle w:val="Compact"/>
      </w:pPr>
      <w:r>
        <w:t xml:space="preserve">مراجعة رصيد مخزن الموقع قبل فتح أمر شراء جديد</w:t>
      </w:r>
    </w:p>
    <w:p>
      <w:pPr>
        <w:numPr>
          <w:ilvl w:val="0"/>
          <w:numId w:val="1037"/>
        </w:numPr>
        <w:pStyle w:val="Compact"/>
      </w:pPr>
      <w:r>
        <w:t xml:space="preserve">تجميع طلبات المواقع المتشابهة في أمر شراء واحد</w:t>
      </w:r>
    </w:p>
    <w:p>
      <w:pPr>
        <w:pStyle w:val="FirstParagraph"/>
      </w:pPr>
      <w:r>
        <w:t xml:space="preserve">يُرفع الطلب من الهاتف في الموقع دون أوراق</w:t>
      </w:r>
    </w:p>
    <w:p>
      <w:pPr>
        <w:pStyle w:val="Heading3"/>
      </w:pPr>
      <w:bookmarkStart w:id="100" w:name="قاعدة-الموردين-والأسعار"/>
      <w:r>
        <w:t xml:space="preserve">قاعدة الموردين والأسعار</w:t>
      </w:r>
      <w:bookmarkEnd w:id="100"/>
    </w:p>
    <w:p>
      <w:pPr>
        <w:pStyle w:val="FirstParagraph"/>
      </w:pPr>
      <w:r>
        <w:t xml:space="preserve">لا اعتماد قبل المقارنة</w:t>
      </w:r>
    </w:p>
    <w:p>
      <w:pPr>
        <w:pStyle w:val="BodyText"/>
      </w:pPr>
      <w:r>
        <w:t xml:space="preserve">لكل مورد بطاقة تحمل سجل أسعاره والتزامه بمواعيد التوريد وجودة ما يورّده، فتُتخذ قرارات الشراء على بيانات لا على انطباعات.</w:t>
      </w:r>
    </w:p>
    <w:p>
      <w:pPr>
        <w:numPr>
          <w:ilvl w:val="0"/>
          <w:numId w:val="1038"/>
        </w:numPr>
        <w:pStyle w:val="Compact"/>
      </w:pPr>
      <w:r>
        <w:t xml:space="preserve">بطاقة مورد بسجل الأسعار التاريخي لكل مادة</w:t>
      </w:r>
    </w:p>
    <w:p>
      <w:pPr>
        <w:numPr>
          <w:ilvl w:val="0"/>
          <w:numId w:val="1038"/>
        </w:numPr>
        <w:pStyle w:val="Compact"/>
      </w:pPr>
      <w:r>
        <w:t xml:space="preserve">مقارنة سعر اليوم بآخر سعر شراء قبل الاعتماد</w:t>
      </w:r>
    </w:p>
    <w:p>
      <w:pPr>
        <w:numPr>
          <w:ilvl w:val="0"/>
          <w:numId w:val="1038"/>
        </w:numPr>
        <w:pStyle w:val="Compact"/>
      </w:pPr>
      <w:r>
        <w:t xml:space="preserve">تقييم الالتزام بالمواعيد ونسب المرتجعات</w:t>
      </w:r>
    </w:p>
    <w:p>
      <w:pPr>
        <w:numPr>
          <w:ilvl w:val="0"/>
          <w:numId w:val="1038"/>
        </w:numPr>
        <w:pStyle w:val="Compact"/>
      </w:pPr>
      <w:r>
        <w:t xml:space="preserve">موردون معتمدون لكل صنف: حديد، أسمنت، بلوك، كهرباء</w:t>
      </w:r>
    </w:p>
    <w:p>
      <w:pPr>
        <w:pStyle w:val="FirstParagraph"/>
      </w:pPr>
      <w:r>
        <w:t xml:space="preserve">المقارنة التاريخية للأسعار تظهر داخل أمر الشراء نفسه</w:t>
      </w:r>
    </w:p>
    <w:p>
      <w:pPr>
        <w:pStyle w:val="Heading3"/>
      </w:pPr>
      <w:bookmarkStart w:id="101" w:name="ضوابط-الاعتماد-والموازنة"/>
      <w:r>
        <w:t xml:space="preserve">ضوابط الاعتماد والموازنة</w:t>
      </w:r>
      <w:bookmarkEnd w:id="101"/>
    </w:p>
    <w:p>
      <w:pPr>
        <w:pStyle w:val="FirstParagraph"/>
      </w:pPr>
      <w:r>
        <w:t xml:space="preserve">صلاحيات محدّدة بالقيمة</w:t>
      </w:r>
    </w:p>
    <w:p>
      <w:pPr>
        <w:pStyle w:val="BodyText"/>
      </w:pPr>
      <w:r>
        <w:t xml:space="preserve">لكل مستوى إداري حد صلاحية بالقيمة، والنظام يمنع تجاوز الموازنة المعتمدة لبند المشروع قبل أن يقع التجاوز لا بعده.</w:t>
      </w:r>
    </w:p>
    <w:p>
      <w:pPr>
        <w:numPr>
          <w:ilvl w:val="0"/>
          <w:numId w:val="1039"/>
        </w:numPr>
        <w:pStyle w:val="Compact"/>
      </w:pPr>
      <w:r>
        <w:t xml:space="preserve">حدود صلاحية متدرجة بقيمة أمر الشراء</w:t>
      </w:r>
    </w:p>
    <w:p>
      <w:pPr>
        <w:numPr>
          <w:ilvl w:val="0"/>
          <w:numId w:val="1039"/>
        </w:numPr>
        <w:pStyle w:val="Compact"/>
      </w:pPr>
      <w:r>
        <w:t xml:space="preserve">إيقاف الاعتماد عند تجاوز موازنة بند المشروع</w:t>
      </w:r>
    </w:p>
    <w:p>
      <w:pPr>
        <w:numPr>
          <w:ilvl w:val="0"/>
          <w:numId w:val="1039"/>
        </w:numPr>
        <w:pStyle w:val="Compact"/>
      </w:pPr>
      <w:r>
        <w:t xml:space="preserve">مسار اعتماد إضافي للمشاريع الحكومية</w:t>
      </w:r>
    </w:p>
    <w:p>
      <w:pPr>
        <w:numPr>
          <w:ilvl w:val="0"/>
          <w:numId w:val="1039"/>
        </w:numPr>
        <w:pStyle w:val="Compact"/>
      </w:pPr>
      <w:r>
        <w:t xml:space="preserve">سجل كامل لمن اعتمد ومتى ولماذا</w:t>
      </w:r>
    </w:p>
    <w:p>
      <w:pPr>
        <w:pStyle w:val="FirstParagraph"/>
      </w:pPr>
      <w:r>
        <w:t xml:space="preserve">لا صرف ولا التزام مالي خارج دورة الاعتماد</w:t>
      </w:r>
    </w:p>
    <w:p>
      <w:pPr>
        <w:pStyle w:val="Heading3"/>
      </w:pPr>
      <w:bookmarkStart w:id="102" w:name="Xae1832b9ec51bb32cb1d06413e20c3374d69c2e"/>
      <w:r>
        <w:t xml:space="preserve">دورة الشراء — من طلب الموقع إلى سداد المورد</w:t>
      </w:r>
      <w:bookmarkEnd w:id="102"/>
    </w:p>
    <w:p>
      <w:pPr>
        <w:pStyle w:val="FirstParagraph"/>
      </w:pPr>
      <w:r>
        <w:t xml:space="preserve">ثماني خطوات محكمة تحوّل احتياج الموقع إلى تكلفة معتمدة على المشروع الصحيح</w:t>
      </w:r>
    </w:p>
    <w:p>
      <w:pPr>
        <w:pStyle w:val="BodyText"/>
      </w:pPr>
      <w:r>
        <w:t xml:space="preserve">طلب الموقع</w:t>
      </w:r>
    </w:p>
    <w:p>
      <w:pPr>
        <w:pStyle w:val="BodyText"/>
      </w:pPr>
      <w:r>
        <w:t xml:space="preserve">مواد بالكمية والتاريخ</w:t>
      </w:r>
    </w:p>
    <w:p>
      <w:pPr>
        <w:pStyle w:val="BodyText"/>
      </w:pPr>
      <w:r>
        <w:t xml:space="preserve">اعتماد المهندس</w:t>
      </w:r>
    </w:p>
    <w:p>
      <w:pPr>
        <w:pStyle w:val="BodyText"/>
      </w:pPr>
      <w:r>
        <w:t xml:space="preserve">مهندس المشروع يوافق</w:t>
      </w:r>
    </w:p>
    <w:p>
      <w:pPr>
        <w:pStyle w:val="BodyText"/>
      </w:pPr>
      <w:r>
        <w:t xml:space="preserve">طلب العروض</w:t>
      </w:r>
    </w:p>
    <w:p>
      <w:pPr>
        <w:pStyle w:val="BodyText"/>
      </w:pPr>
      <w:r>
        <w:t xml:space="preserve">عدة موردين معتمدين</w:t>
      </w:r>
    </w:p>
    <w:p>
      <w:pPr>
        <w:pStyle w:val="BodyText"/>
      </w:pPr>
      <w:r>
        <w:t xml:space="preserve">المقارنة</w:t>
      </w:r>
    </w:p>
    <w:p>
      <w:pPr>
        <w:pStyle w:val="BodyText"/>
      </w:pPr>
      <w:r>
        <w:t xml:space="preserve">فنياً وسعرياً</w:t>
      </w:r>
    </w:p>
    <w:p>
      <w:pPr>
        <w:pStyle w:val="BodyText"/>
      </w:pPr>
      <w:r>
        <w:t xml:space="preserve">أمر الشراء</w:t>
      </w:r>
    </w:p>
    <w:p>
      <w:pPr>
        <w:pStyle w:val="BodyText"/>
      </w:pPr>
      <w:r>
        <w:t xml:space="preserve">مرتبط بمركز التكلفة</w:t>
      </w:r>
    </w:p>
    <w:p>
      <w:pPr>
        <w:pStyle w:val="BodyText"/>
      </w:pPr>
      <w:r>
        <w:t xml:space="preserve">الاستلام</w:t>
      </w:r>
    </w:p>
    <w:p>
      <w:pPr>
        <w:pStyle w:val="BodyText"/>
      </w:pPr>
      <w:r>
        <w:t xml:space="preserve">في مخزن الموقع</w:t>
      </w:r>
    </w:p>
    <w:p>
      <w:pPr>
        <w:pStyle w:val="BodyText"/>
      </w:pPr>
      <w:r>
        <w:t xml:space="preserve">المطابقة الثلاثية</w:t>
      </w:r>
    </w:p>
    <w:p>
      <w:pPr>
        <w:pStyle w:val="BodyText"/>
      </w:pPr>
      <w:r>
        <w:t xml:space="preserve">أمر واستلام وفاتورة</w:t>
      </w:r>
    </w:p>
    <w:p>
      <w:pPr>
        <w:pStyle w:val="BodyText"/>
      </w:pPr>
      <w:r>
        <w:t xml:space="preserve">السداد</w:t>
      </w:r>
    </w:p>
    <w:p>
      <w:pPr>
        <w:pStyle w:val="BodyText"/>
      </w:pPr>
      <w:r>
        <w:t xml:space="preserve">حسب شروط المورد</w:t>
      </w:r>
    </w:p>
    <w:p>
      <w:pPr>
        <w:pStyle w:val="BodyText"/>
      </w:pPr>
      <w:r>
        <w:t xml:space="preserve">ملاحظة التنفيذ</w:t>
      </w:r>
    </w:p>
    <w:p>
      <w:pPr>
        <w:pStyle w:val="BodyText"/>
      </w:pPr>
      <w:r>
        <w:t xml:space="preserve">تُهيَّأ حقول أمر الشراء خصيصاً لشركة لؤلؤة الشايع: المشروع ومركز التكلفة، بند الموازنة، مخزن الموقع المستلم، ونوع الشراء (مواد / إيجار معدات / أعمال باطن) — كلها إلزامية عند إنشاء الأمر بعملة KWD .</w:t>
      </w:r>
    </w:p>
    <w:p>
      <w:pPr>
        <w:pStyle w:val="BodyText"/>
      </w:pPr>
      <w:r>
        <w:t xml:space="preserve">وحدة المشتريات والتوريد</w:t>
      </w:r>
    </w:p>
    <w:p>
      <w:pPr>
        <w:pStyle w:val="Heading3"/>
      </w:pPr>
      <w:bookmarkStart w:id="103" w:name="دورة-العمل-ومسار-الشراء"/>
      <w:r>
        <w:t xml:space="preserve">دورة العمل ومسار الشراء</w:t>
      </w:r>
      <w:bookmarkEnd w:id="103"/>
    </w:p>
    <w:p>
      <w:pPr>
        <w:pStyle w:val="FirstParagraph"/>
      </w:pPr>
      <w:r>
        <w:t xml:space="preserve">مسار واحد لا يقبل الاختصار: يبدأ من الموقع ولا يُقفل إلا بعد مطابقة الفاتورة بأمر الشراء وسند الاستلام، مع تحميل التكلفة على مركز تكلفة المشروع في كل خطوة.</w:t>
      </w:r>
    </w:p>
    <w:p>
      <w:pPr>
        <w:pStyle w:val="Heading3"/>
      </w:pPr>
      <w:bookmarkStart w:id="104" w:name="طلب-مواد"/>
      <w:r>
        <w:t xml:space="preserve">طلب مواد</w:t>
      </w:r>
      <w:bookmarkEnd w:id="104"/>
    </w:p>
    <w:p>
      <w:pPr>
        <w:pStyle w:val="FirstParagraph"/>
      </w:pPr>
      <w:r>
        <w:t xml:space="preserve">الموقع</w:t>
      </w:r>
    </w:p>
    <w:p>
      <w:pPr>
        <w:pStyle w:val="Heading3"/>
      </w:pPr>
      <w:bookmarkStart w:id="105" w:name="اعتماد-فني"/>
      <w:r>
        <w:t xml:space="preserve">اعتماد فني</w:t>
      </w:r>
      <w:bookmarkEnd w:id="105"/>
    </w:p>
    <w:p>
      <w:pPr>
        <w:pStyle w:val="FirstParagraph"/>
      </w:pPr>
      <w:r>
        <w:t xml:space="preserve">مهندس المشروع</w:t>
      </w:r>
    </w:p>
    <w:p>
      <w:pPr>
        <w:pStyle w:val="Heading3"/>
      </w:pPr>
      <w:bookmarkStart w:id="106" w:name="طلب-عروض"/>
      <w:r>
        <w:t xml:space="preserve">طلب عروض</w:t>
      </w:r>
      <w:bookmarkEnd w:id="106"/>
    </w:p>
    <w:p>
      <w:pPr>
        <w:pStyle w:val="FirstParagraph"/>
      </w:pPr>
      <w:r>
        <w:t xml:space="preserve">3 موردين فأكثر</w:t>
      </w:r>
    </w:p>
    <w:p>
      <w:pPr>
        <w:pStyle w:val="Heading3"/>
      </w:pPr>
      <w:bookmarkStart w:id="107" w:name="المقارنة"/>
      <w:r>
        <w:t xml:space="preserve">المقارنة</w:t>
      </w:r>
      <w:bookmarkEnd w:id="107"/>
    </w:p>
    <w:p>
      <w:pPr>
        <w:pStyle w:val="FirstParagraph"/>
      </w:pPr>
      <w:r>
        <w:t xml:space="preserve">فنية وسعرية</w:t>
      </w:r>
    </w:p>
    <w:p>
      <w:pPr>
        <w:pStyle w:val="Heading3"/>
      </w:pPr>
      <w:bookmarkStart w:id="108" w:name="أمر-شراء"/>
      <w:r>
        <w:t xml:space="preserve">أمر شراء</w:t>
      </w:r>
      <w:bookmarkEnd w:id="108"/>
    </w:p>
    <w:p>
      <w:pPr>
        <w:pStyle w:val="FirstParagraph"/>
      </w:pPr>
      <w:r>
        <w:t xml:space="preserve">بمركز تكلفة المشروع</w:t>
      </w:r>
    </w:p>
    <w:p>
      <w:pPr>
        <w:pStyle w:val="Heading3"/>
      </w:pPr>
      <w:bookmarkStart w:id="109" w:name="الاستلام"/>
      <w:r>
        <w:t xml:space="preserve">الاستلام</w:t>
      </w:r>
      <w:bookmarkEnd w:id="109"/>
    </w:p>
    <w:p>
      <w:pPr>
        <w:pStyle w:val="FirstParagraph"/>
      </w:pPr>
      <w:r>
        <w:t xml:space="preserve">مخزن الموقع</w:t>
      </w:r>
    </w:p>
    <w:p>
      <w:pPr>
        <w:pStyle w:val="Heading3"/>
      </w:pPr>
      <w:bookmarkStart w:id="110" w:name="مطابقة-ثلاثية"/>
      <w:r>
        <w:t xml:space="preserve">مطابقة ثلاثية</w:t>
      </w:r>
      <w:bookmarkEnd w:id="110"/>
    </w:p>
    <w:p>
      <w:pPr>
        <w:pStyle w:val="FirstParagraph"/>
      </w:pPr>
      <w:r>
        <w:t xml:space="preserve">قبل قيد الفاتورة</w:t>
      </w:r>
    </w:p>
    <w:p>
      <w:pPr>
        <w:pStyle w:val="Heading3"/>
      </w:pPr>
      <w:bookmarkStart w:id="111" w:name="السداد"/>
      <w:r>
        <w:t xml:space="preserve">السداد</w:t>
      </w:r>
      <w:bookmarkEnd w:id="111"/>
    </w:p>
    <w:p>
      <w:pPr>
        <w:pStyle w:val="FirstParagraph"/>
      </w:pPr>
      <w:r>
        <w:t xml:space="preserve">نقداً أو بشيك</w:t>
      </w:r>
    </w:p>
    <w:p>
      <w:pPr>
        <w:pStyle w:val="Heading3"/>
      </w:pPr>
      <w:bookmarkStart w:id="112" w:name="حقول-أمر-الشراء-المخصصة"/>
      <w:r>
        <w:t xml:space="preserve">حقول أمر الشراء المخصّصة</w:t>
      </w:r>
      <w:bookmarkEnd w:id="112"/>
    </w:p>
    <w:p>
      <w:pPr>
        <w:pStyle w:val="FirstParagraph"/>
      </w:pPr>
      <w:r>
        <w:t xml:space="preserve">بيانات إلزامية قبل الاعتماد</w:t>
      </w:r>
    </w:p>
    <w:p>
      <w:pPr>
        <w:pStyle w:val="Heading3"/>
      </w:pPr>
      <w:bookmarkStart w:id="113" w:name="مسار-مقاولي-الباطن"/>
      <w:r>
        <w:t xml:space="preserve">مسار مقاولي الباطن</w:t>
      </w:r>
      <w:bookmarkEnd w:id="113"/>
    </w:p>
    <w:p>
      <w:pPr>
        <w:pStyle w:val="FirstParagraph"/>
      </w:pPr>
      <w:r>
        <w:t xml:space="preserve">من العقد إلى المستخلص إلى الدفعة</w:t>
      </w:r>
    </w:p>
    <w:p>
      <w:pPr>
        <w:pStyle w:val="BodyText"/>
      </w:pPr>
      <w:r>
        <w:t xml:space="preserve">تُعامل أعمال الباطن كعقد لا كفاتورة: جدول بنود بالكميات والأسعار، ومستخلصات دورية بنسبة الإنجاز المعتمدة من مهندس المشروع، ومحتجزات تُحرَّر عند التسليم.</w:t>
      </w:r>
    </w:p>
    <w:p>
      <w:pPr>
        <w:numPr>
          <w:ilvl w:val="0"/>
          <w:numId w:val="1040"/>
        </w:numPr>
        <w:pStyle w:val="Compact"/>
      </w:pPr>
      <w:r>
        <w:t xml:space="preserve">عقد باطن لكل تخصص: كهرباء، حدادة، نجارة، عمالة</w:t>
      </w:r>
    </w:p>
    <w:p>
      <w:pPr>
        <w:numPr>
          <w:ilvl w:val="0"/>
          <w:numId w:val="1040"/>
        </w:numPr>
        <w:pStyle w:val="Compact"/>
      </w:pPr>
      <w:r>
        <w:t xml:space="preserve">جدول بنود بالكميات التعاقدية وأسعار الوحدة</w:t>
      </w:r>
    </w:p>
    <w:p>
      <w:pPr>
        <w:numPr>
          <w:ilvl w:val="0"/>
          <w:numId w:val="1040"/>
        </w:numPr>
        <w:pStyle w:val="Compact"/>
      </w:pPr>
      <w:r>
        <w:t xml:space="preserve">مستخلص باطن دوري بنسبة الإنجاز المعتمدة</w:t>
      </w:r>
    </w:p>
    <w:p>
      <w:pPr>
        <w:numPr>
          <w:ilvl w:val="0"/>
          <w:numId w:val="1040"/>
        </w:numPr>
        <w:pStyle w:val="Compact"/>
      </w:pPr>
      <w:r>
        <w:t xml:space="preserve">محتجزات وخصومات تُحسب آلياً على كل مستخلص</w:t>
      </w:r>
    </w:p>
    <w:p>
      <w:pPr>
        <w:numPr>
          <w:ilvl w:val="0"/>
          <w:numId w:val="1040"/>
        </w:numPr>
        <w:pStyle w:val="Compact"/>
      </w:pPr>
      <w:r>
        <w:t xml:space="preserve">الدفعات المستحقة لكل مقاول ورصيده المتبقي</w:t>
      </w:r>
    </w:p>
    <w:p>
      <w:pPr>
        <w:pStyle w:val="Heading3"/>
      </w:pPr>
      <w:bookmarkStart w:id="114" w:name="المطابقة-الثلاثية-ما-لا-يقيد-قبل-اكتماله"/>
      <w:r>
        <w:t xml:space="preserve">المطابقة الثلاثية — ما لا يُقيَّد قبل اكتماله</w:t>
      </w:r>
      <w:bookmarkEnd w:id="114"/>
    </w:p>
    <w:p>
      <w:pPr>
        <w:pStyle w:val="FirstParagraph"/>
      </w:pPr>
      <w:r>
        <w:t xml:space="preserve">ثلاثة مستندات يجب أن تتطابق قيمةً وكميةً قبل أن تدخل تكلفة المورد على حساب المشروع</w:t>
      </w:r>
    </w:p>
    <w:p>
      <w:pPr>
        <w:pStyle w:val="BodyText"/>
      </w:pPr>
      <w:r>
        <w:t xml:space="preserve">أمر الشراء</w:t>
      </w:r>
    </w:p>
    <w:p>
      <w:pPr>
        <w:pStyle w:val="BodyText"/>
      </w:pPr>
      <w:r>
        <w:t xml:space="preserve">الكمية والسعر المعتمدان</w:t>
      </w:r>
    </w:p>
    <w:p>
      <w:pPr>
        <w:pStyle w:val="BodyText"/>
      </w:pPr>
      <w:r>
        <w:t xml:space="preserve">سند الاستلام</w:t>
      </w:r>
    </w:p>
    <w:p>
      <w:pPr>
        <w:pStyle w:val="BodyText"/>
      </w:pPr>
      <w:r>
        <w:t xml:space="preserve">ما دخل مخزن الموقع فعلاً</w:t>
      </w:r>
    </w:p>
    <w:p>
      <w:pPr>
        <w:pStyle w:val="BodyText"/>
      </w:pPr>
      <w:r>
        <w:t xml:space="preserve">فاتورة المورد</w:t>
      </w:r>
    </w:p>
    <w:p>
      <w:pPr>
        <w:pStyle w:val="BodyText"/>
      </w:pPr>
      <w:r>
        <w:t xml:space="preserve">القيمة المطالب بها</w:t>
      </w:r>
    </w:p>
    <w:p>
      <w:pPr>
        <w:pStyle w:val="BodyText"/>
      </w:pPr>
      <w:r>
        <w:t xml:space="preserve">حالة استثناء</w:t>
      </w:r>
    </w:p>
    <w:p>
      <w:pPr>
        <w:pStyle w:val="BodyText"/>
      </w:pPr>
      <w:r>
        <w:t xml:space="preserve">أي فرق يوقف القيد ويُصعَّد</w:t>
      </w:r>
    </w:p>
    <w:p>
      <w:pPr>
        <w:pStyle w:val="BodyText"/>
      </w:pPr>
      <w:r>
        <w:t xml:space="preserve">قيد على المشروع</w:t>
      </w:r>
    </w:p>
    <w:p>
      <w:pPr>
        <w:pStyle w:val="BodyText"/>
      </w:pPr>
      <w:r>
        <w:t xml:space="preserve">التكلفة على مركز تكلفته</w:t>
      </w:r>
    </w:p>
    <w:p>
      <w:pPr>
        <w:pStyle w:val="Heading3"/>
      </w:pPr>
      <w:bookmarkStart w:id="115" w:name="شراء-مباشر-للموقع"/>
      <w:r>
        <w:t xml:space="preserve">شراء مباشر للموقع</w:t>
      </w:r>
      <w:bookmarkEnd w:id="115"/>
    </w:p>
    <w:p>
      <w:pPr>
        <w:pStyle w:val="FirstParagraph"/>
      </w:pPr>
      <w:r>
        <w:t xml:space="preserve">مواد عاجلة بقيمة محدودة يُعتمد صرفها بمسار مختصر، مع بقاء ارتباطها بمشروعها ومركز تكلفته وتسويتها على عهدة الموقع.</w:t>
      </w:r>
    </w:p>
    <w:p>
      <w:pPr>
        <w:pStyle w:val="Heading3"/>
      </w:pPr>
      <w:bookmarkStart w:id="116" w:name="أمر-شراء-إطاري"/>
      <w:r>
        <w:t xml:space="preserve">أمر شراء إطاري</w:t>
      </w:r>
      <w:bookmarkEnd w:id="116"/>
    </w:p>
    <w:p>
      <w:pPr>
        <w:pStyle w:val="FirstParagraph"/>
      </w:pPr>
      <w:r>
        <w:t xml:space="preserve">سعر متفق عليه مع المورد لفترة محددة، تسحب عليه المواقع دفعات حسب حاجتها فيثبت السعر ويُختصر وقت التوريد للمشاريع الجارية.</w:t>
      </w:r>
    </w:p>
    <w:p>
      <w:pPr>
        <w:pStyle w:val="Heading3"/>
      </w:pPr>
      <w:bookmarkStart w:id="117" w:name="عقد-باطن-أو-إيجار-معدة"/>
      <w:r>
        <w:t xml:space="preserve">عقد باطن أو إيجار معدة</w:t>
      </w:r>
      <w:bookmarkEnd w:id="117"/>
    </w:p>
    <w:p>
      <w:pPr>
        <w:pStyle w:val="FirstParagraph"/>
      </w:pPr>
      <w:r>
        <w:t xml:space="preserve">التزام ممتد بمدة وبجدول بنود، يُصرف بمستخلصات دورية أو بدفعات إيجار محمَّلة على المشروع المستفيد طوال مدة العقد.</w:t>
      </w:r>
    </w:p>
    <w:p>
      <w:pPr>
        <w:pStyle w:val="BodyText"/>
      </w:pPr>
      <w:r>
        <w:t xml:space="preserve">ملاحظة على المسار</w:t>
      </w:r>
    </w:p>
    <w:p>
      <w:pPr>
        <w:pStyle w:val="BodyText"/>
      </w:pPr>
      <w:r>
        <w:t xml:space="preserve">لا تُقيَّد فاتورة مورد في المحاسبة قبل نجاح المطابقة الثلاثية بين أمر الشراء وسند الاستلام والفاتورة؛ وأي فرق في الكمية أو السعر يفتح حالة استثناء تصل إلى مدير المشتريات فوراً.</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المشروع / الموقع</w:t>
            </w:r>
          </w:p>
        </w:tc>
        <w:tc>
          <w:tcPr>
            <w:tcBorders>
              <w:bottom w:val="single"/>
            </w:tcBorders>
            <w:vAlign w:val="bottom"/>
          </w:tcPr>
          <w:p>
            <w:pPr>
              <w:pStyle w:val="Compact"/>
              <w:jc w:val="left"/>
            </w:pPr>
            <w:r>
              <w:t xml:space="preserve">إلزامي على كل سطر شراء</w:t>
            </w:r>
          </w:p>
        </w:tc>
      </w:tr>
      <w:tr>
        <w:tc>
          <w:p>
            <w:pPr>
              <w:pStyle w:val="Compact"/>
              <w:jc w:val="left"/>
            </w:pPr>
            <w:r>
              <w:t xml:space="preserve">مركز التكلفة</w:t>
            </w:r>
          </w:p>
        </w:tc>
        <w:tc>
          <w:p>
            <w:pPr>
              <w:pStyle w:val="Compact"/>
              <w:jc w:val="left"/>
            </w:pPr>
            <w:r>
              <w:t xml:space="preserve">يُشتق تلقائياً من المشروع</w:t>
            </w:r>
          </w:p>
        </w:tc>
      </w:tr>
      <w:tr>
        <w:tc>
          <w:p>
            <w:pPr>
              <w:pStyle w:val="Compact"/>
              <w:jc w:val="left"/>
            </w:pPr>
            <w:r>
              <w:t xml:space="preserve">بند الموازنة</w:t>
            </w:r>
          </w:p>
        </w:tc>
        <w:tc>
          <w:p>
            <w:pPr>
              <w:pStyle w:val="Compact"/>
              <w:jc w:val="left"/>
            </w:pPr>
            <w:r>
              <w:t xml:space="preserve">يُقارن بالمتبقي قبل الاعتماد</w:t>
            </w:r>
          </w:p>
        </w:tc>
      </w:tr>
      <w:tr>
        <w:tc>
          <w:p>
            <w:pPr>
              <w:pStyle w:val="Compact"/>
              <w:jc w:val="left"/>
            </w:pPr>
            <w:r>
              <w:t xml:space="preserve">نوع الشراء</w:t>
            </w:r>
          </w:p>
        </w:tc>
        <w:tc>
          <w:p>
            <w:pPr>
              <w:pStyle w:val="Compact"/>
              <w:jc w:val="left"/>
            </w:pPr>
            <w:r>
              <w:t xml:space="preserve">مواد / إيجار معدات / أعمال باطن / وقود</w:t>
            </w:r>
          </w:p>
        </w:tc>
      </w:tr>
      <w:tr>
        <w:tc>
          <w:p>
            <w:pPr>
              <w:pStyle w:val="Compact"/>
              <w:jc w:val="left"/>
            </w:pPr>
            <w:r>
              <w:t xml:space="preserve">مرجع المقارنة</w:t>
            </w:r>
          </w:p>
        </w:tc>
        <w:tc>
          <w:p>
            <w:pPr>
              <w:pStyle w:val="Compact"/>
              <w:jc w:val="left"/>
            </w:pPr>
            <w:r>
              <w:t xml:space="preserve">رقم كشف مقارنة العروض المعتمد</w:t>
            </w:r>
          </w:p>
        </w:tc>
      </w:tr>
      <w:tr>
        <w:tc>
          <w:p>
            <w:pPr>
              <w:pStyle w:val="Compact"/>
              <w:jc w:val="left"/>
            </w:pPr>
            <w:r>
              <w:t xml:space="preserve">مخزن الاستلام</w:t>
            </w:r>
          </w:p>
        </w:tc>
        <w:tc>
          <w:p>
            <w:pPr>
              <w:pStyle w:val="Compact"/>
              <w:jc w:val="left"/>
            </w:pPr>
            <w:r>
              <w:t xml:space="preserve">مخزن الموقع لا المخزن الرئيسي</w:t>
            </w:r>
          </w:p>
        </w:tc>
      </w:tr>
      <w:tr>
        <w:tc>
          <w:p>
            <w:pPr>
              <w:pStyle w:val="Compact"/>
              <w:jc w:val="left"/>
            </w:pPr>
            <w:r>
              <w:t xml:space="preserve">القيمة (KWD)</w:t>
            </w:r>
          </w:p>
        </w:tc>
        <w:tc>
          <w:p>
            <w:pPr>
              <w:pStyle w:val="Compact"/>
              <w:jc w:val="left"/>
            </w:pPr>
            <w:r>
              <w:t xml:space="preserve">تُحتسب من سطور الأمر آلياً</w:t>
            </w:r>
          </w:p>
        </w:tc>
      </w:tr>
    </w:tbl>
    <w:p>
      <w:pPr>
        <w:pStyle w:val="BodyText"/>
      </w:pPr>
      <w:r>
        <w:t xml:space="preserve">وحدة المشتريات والتوريد</w:t>
      </w:r>
    </w:p>
    <w:p>
      <w:pPr>
        <w:pStyle w:val="Heading3"/>
      </w:pPr>
      <w:bookmarkStart w:id="118" w:name="الوظائف-والإمكانات-2"/>
      <w:r>
        <w:t xml:space="preserve">الوظائف والإمكانات</w:t>
      </w:r>
      <w:bookmarkEnd w:id="118"/>
    </w:p>
    <w:p>
      <w:pPr>
        <w:pStyle w:val="FirstParagraph"/>
      </w:pPr>
      <w:r>
        <w:t xml:space="preserve">إمكانات مصمَّمة لواقع المقاول: مقارنة عروض قبل كل التزام، عقود باطن بمستخلصاتها، بطاقة مورد تُقيَّم بالأرقام، وإيجار معدات محمَّل على المشروع المستفيد.</w:t>
      </w:r>
    </w:p>
    <w:p>
      <w:pPr>
        <w:pStyle w:val="Heading3"/>
      </w:pPr>
      <w:bookmarkStart w:id="119" w:name="طلب-العروض-والمقارنة"/>
      <w:r>
        <w:t xml:space="preserve">طلب العروض والمقارنة</w:t>
      </w:r>
      <w:bookmarkEnd w:id="119"/>
    </w:p>
    <w:p>
      <w:pPr>
        <w:pStyle w:val="FirstParagraph"/>
      </w:pPr>
      <w:r>
        <w:t xml:space="preserve">الوفر يبدأ من كشف المقارنة</w:t>
      </w:r>
    </w:p>
    <w:p>
      <w:pPr>
        <w:pStyle w:val="BodyText"/>
      </w:pPr>
      <w:r>
        <w:t xml:space="preserve">يرسل النظام طلب عرض السعر إلى الموردين المعتمدين للصنف دفعة واحدة، ثم يبني كشف مقارنة يوازن السعر بمدة التوريد وشروط الدفع والمواصفة الفنية.</w:t>
      </w:r>
    </w:p>
    <w:p>
      <w:pPr>
        <w:numPr>
          <w:ilvl w:val="0"/>
          <w:numId w:val="1041"/>
        </w:numPr>
        <w:pStyle w:val="Compact"/>
      </w:pPr>
      <w:r>
        <w:t xml:space="preserve">إرسال طلب عرض واحد إلى عدة موردين في خطوة واحدة</w:t>
      </w:r>
    </w:p>
    <w:p>
      <w:pPr>
        <w:numPr>
          <w:ilvl w:val="0"/>
          <w:numId w:val="1041"/>
        </w:numPr>
        <w:pStyle w:val="Compact"/>
      </w:pPr>
      <w:r>
        <w:t xml:space="preserve">كشف مقارنة يعرض السعر والمدة وشروط السداد جنباً إلى جنب</w:t>
      </w:r>
    </w:p>
    <w:p>
      <w:pPr>
        <w:numPr>
          <w:ilvl w:val="0"/>
          <w:numId w:val="1041"/>
        </w:numPr>
        <w:pStyle w:val="Compact"/>
      </w:pPr>
      <w:r>
        <w:t xml:space="preserve">تسجيل سبب اختيار المورد إذا لم يكن الأقل سعراً</w:t>
      </w:r>
    </w:p>
    <w:p>
      <w:pPr>
        <w:numPr>
          <w:ilvl w:val="0"/>
          <w:numId w:val="1041"/>
        </w:numPr>
        <w:pStyle w:val="Compact"/>
      </w:pPr>
      <w:r>
        <w:t xml:space="preserve">حساب الوفر المحقق مقابل أعلى عرض ومقابل آخر سعر شراء</w:t>
      </w:r>
    </w:p>
    <w:p>
      <w:pPr>
        <w:numPr>
          <w:ilvl w:val="0"/>
          <w:numId w:val="1041"/>
        </w:numPr>
        <w:pStyle w:val="Compact"/>
      </w:pPr>
      <w:r>
        <w:t xml:space="preserve">أرشفة العروض الأصلية كمرفقات على كشف المقارنة</w:t>
      </w:r>
    </w:p>
    <w:p>
      <w:pPr>
        <w:pStyle w:val="Heading3"/>
      </w:pPr>
      <w:bookmarkStart w:id="120" w:name="عقود-مقاولي-الباطن"/>
      <w:r>
        <w:t xml:space="preserve">عقود مقاولي الباطن</w:t>
      </w:r>
      <w:bookmarkEnd w:id="120"/>
    </w:p>
    <w:p>
      <w:pPr>
        <w:pStyle w:val="FirstParagraph"/>
      </w:pPr>
      <w:r>
        <w:t xml:space="preserve">كهرباء · حدادة · نجارة · عمالة</w:t>
      </w:r>
    </w:p>
    <w:p>
      <w:pPr>
        <w:pStyle w:val="BodyText"/>
      </w:pPr>
      <w:r>
        <w:t xml:space="preserve">ملف متكامل لكل مقاول باطن: العقد وجدول بنوده، ومستخلصاته المعتمدة، ونسبة إنجازه الفعلية، ومحتجزاته، ورصيد مستحقاته حتى تاريخه.</w:t>
      </w:r>
    </w:p>
    <w:p>
      <w:pPr>
        <w:numPr>
          <w:ilvl w:val="0"/>
          <w:numId w:val="1042"/>
        </w:numPr>
        <w:pStyle w:val="Compact"/>
      </w:pPr>
      <w:r>
        <w:t xml:space="preserve">عقد باطن مرتبط بالمشروع وبنود الموازنة</w:t>
      </w:r>
    </w:p>
    <w:p>
      <w:pPr>
        <w:numPr>
          <w:ilvl w:val="0"/>
          <w:numId w:val="1042"/>
        </w:numPr>
        <w:pStyle w:val="Compact"/>
      </w:pPr>
      <w:r>
        <w:t xml:space="preserve">مستخلص بنسبة إنجاز يعتمدها مهندس الموقع</w:t>
      </w:r>
    </w:p>
    <w:p>
      <w:pPr>
        <w:numPr>
          <w:ilvl w:val="0"/>
          <w:numId w:val="1042"/>
        </w:numPr>
        <w:pStyle w:val="Compact"/>
      </w:pPr>
      <w:r>
        <w:t xml:space="preserve">احتساب المحتجزات ودفعة المقدم وخصوماتها آلياً</w:t>
      </w:r>
    </w:p>
    <w:p>
      <w:pPr>
        <w:numPr>
          <w:ilvl w:val="0"/>
          <w:numId w:val="1042"/>
        </w:numPr>
        <w:pStyle w:val="Compact"/>
      </w:pPr>
      <w:r>
        <w:t xml:space="preserve">مقارنة تكلفة الباطن الفعلية بقيمة العقد وبالموازنة</w:t>
      </w:r>
    </w:p>
    <w:p>
      <w:pPr>
        <w:numPr>
          <w:ilvl w:val="0"/>
          <w:numId w:val="1042"/>
        </w:numPr>
        <w:pStyle w:val="Compact"/>
      </w:pPr>
      <w:r>
        <w:t xml:space="preserve">متابعة التأمينات والمستندات وتواريخ سريانها</w:t>
      </w:r>
    </w:p>
    <w:p>
      <w:pPr>
        <w:pStyle w:val="Heading3"/>
      </w:pPr>
      <w:bookmarkStart w:id="121" w:name="بطاقة-المورد-وتقييمه"/>
      <w:r>
        <w:t xml:space="preserve">بطاقة المورد وتقييمه</w:t>
      </w:r>
      <w:bookmarkEnd w:id="121"/>
    </w:p>
    <w:p>
      <w:pPr>
        <w:pStyle w:val="FirstParagraph"/>
      </w:pPr>
      <w:r>
        <w:t xml:space="preserve">السعر والموعد والجودة</w:t>
      </w:r>
    </w:p>
    <w:p>
      <w:pPr>
        <w:pStyle w:val="BodyText"/>
      </w:pPr>
      <w:r>
        <w:t xml:space="preserve">يُقيَّم المورد بأرقام دورته الفعلية: كم مرة ورّد في موعده، وكم مرتجعاً سجّل، وكيف تحرّك سعره عبر الأشهر مقارنة بالسوق.</w:t>
      </w:r>
    </w:p>
    <w:p>
      <w:pPr>
        <w:numPr>
          <w:ilvl w:val="0"/>
          <w:numId w:val="1043"/>
        </w:numPr>
        <w:pStyle w:val="Compact"/>
      </w:pPr>
      <w:r>
        <w:t xml:space="preserve">سجل الأسعار التاريخي لكل مادة لدى كل مورد</w:t>
      </w:r>
    </w:p>
    <w:p>
      <w:pPr>
        <w:numPr>
          <w:ilvl w:val="0"/>
          <w:numId w:val="1043"/>
        </w:numPr>
        <w:pStyle w:val="Compact"/>
      </w:pPr>
      <w:r>
        <w:t xml:space="preserve">نسبة الالتزام بمواعيد التوريد ومتوسط أيام التأخير</w:t>
      </w:r>
    </w:p>
    <w:p>
      <w:pPr>
        <w:numPr>
          <w:ilvl w:val="0"/>
          <w:numId w:val="1043"/>
        </w:numPr>
        <w:pStyle w:val="Compact"/>
      </w:pPr>
      <w:r>
        <w:t xml:space="preserve">مرتجعات الجودة ومخالفات المواصفة المسجّلة</w:t>
      </w:r>
    </w:p>
    <w:p>
      <w:pPr>
        <w:numPr>
          <w:ilvl w:val="0"/>
          <w:numId w:val="1043"/>
        </w:numPr>
        <w:pStyle w:val="Compact"/>
      </w:pPr>
      <w:r>
        <w:t xml:space="preserve">شروط الدفع والحد الائتماني وأعمار المستحقات</w:t>
      </w:r>
    </w:p>
    <w:p>
      <w:pPr>
        <w:numPr>
          <w:ilvl w:val="0"/>
          <w:numId w:val="1043"/>
        </w:numPr>
        <w:pStyle w:val="Compact"/>
      </w:pPr>
      <w:r>
        <w:t xml:space="preserve">تصنيف الموردين: معتمد / تحت المراجعة / موقوف</w:t>
      </w:r>
    </w:p>
    <w:p>
      <w:pPr>
        <w:pStyle w:val="Heading3"/>
      </w:pPr>
      <w:bookmarkStart w:id="122" w:name="مشتريات-وإيجارات-المعدات"/>
      <w:r>
        <w:t xml:space="preserve">مشتريات وإيجارات المعدات</w:t>
      </w:r>
      <w:bookmarkEnd w:id="122"/>
    </w:p>
    <w:p>
      <w:pPr>
        <w:pStyle w:val="FirstParagraph"/>
      </w:pPr>
      <w:r>
        <w:t xml:space="preserve">محمَّلة على المشروع المستفيد</w:t>
      </w:r>
    </w:p>
    <w:p>
      <w:pPr>
        <w:pStyle w:val="BodyText"/>
      </w:pPr>
      <w:r>
        <w:t xml:space="preserve">إيجار الحفارات والرافعات والسقالات وما يتبعها من وقود وقطع غيار وصيانة يُقيَّد على المشروع الذي عملت فيه المعدة، بالمدة وبالساعة عند الحاجة.</w:t>
      </w:r>
    </w:p>
    <w:p>
      <w:pPr>
        <w:numPr>
          <w:ilvl w:val="0"/>
          <w:numId w:val="1044"/>
        </w:numPr>
        <w:pStyle w:val="Compact"/>
      </w:pPr>
      <w:r>
        <w:t xml:space="preserve">عقود إيجار المعدات بمددها وقيمها الشهرية</w:t>
      </w:r>
    </w:p>
    <w:p>
      <w:pPr>
        <w:numPr>
          <w:ilvl w:val="0"/>
          <w:numId w:val="1044"/>
        </w:numPr>
        <w:pStyle w:val="Compact"/>
      </w:pPr>
      <w:r>
        <w:t xml:space="preserve">تحميل الإيجار على المشروع المستفيد يومياً أو شهرياً</w:t>
      </w:r>
    </w:p>
    <w:p>
      <w:pPr>
        <w:numPr>
          <w:ilvl w:val="0"/>
          <w:numId w:val="1044"/>
        </w:numPr>
        <w:pStyle w:val="Compact"/>
      </w:pPr>
      <w:r>
        <w:t xml:space="preserve">الوقود وقطع الغيار والصيانة على بطاقة المعدة</w:t>
      </w:r>
    </w:p>
    <w:p>
      <w:pPr>
        <w:numPr>
          <w:ilvl w:val="0"/>
          <w:numId w:val="1044"/>
        </w:numPr>
        <w:pStyle w:val="Compact"/>
      </w:pPr>
      <w:r>
        <w:t xml:space="preserve">مقارنة تكلفة الإيجار بتكلفة الشراء للمعدة نفسها</w:t>
      </w:r>
    </w:p>
    <w:p>
      <w:pPr>
        <w:numPr>
          <w:ilvl w:val="0"/>
          <w:numId w:val="1044"/>
        </w:numPr>
        <w:pStyle w:val="Compact"/>
      </w:pPr>
      <w:r>
        <w:t xml:space="preserve">حركة المعدات بين المواقع وتكلفة كل موقع</w:t>
      </w:r>
    </w:p>
    <w:p>
      <w:pPr>
        <w:pStyle w:val="Heading3"/>
      </w:pPr>
      <w:bookmarkStart w:id="123" w:name="X77adee7d179454f806a11cc5946f0076575c738"/>
      <w:r>
        <w:t xml:space="preserve">ضوابط الاعتماد — حدود الصلاحية وحماية الموازنة</w:t>
      </w:r>
      <w:bookmarkEnd w:id="123"/>
    </w:p>
    <w:p>
      <w:pPr>
        <w:pStyle w:val="FirstParagraph"/>
      </w:pPr>
      <w:r>
        <w:t xml:space="preserve">النظام يمنع الالتزام المالي قبل وقوعه، لا يبلّغ عنه بعد وقوعه</w:t>
      </w:r>
    </w:p>
    <w:p>
      <w:pPr>
        <w:pStyle w:val="BodyText"/>
      </w:pPr>
      <w:r>
        <w:t xml:space="preserve">مسؤول المشتريات</w:t>
      </w:r>
    </w:p>
    <w:p>
      <w:pPr>
        <w:pStyle w:val="BodyText"/>
      </w:pPr>
      <w:r>
        <w:t xml:space="preserve">إنشاء الطلب والعروض</w:t>
      </w:r>
    </w:p>
    <w:p>
      <w:pPr>
        <w:pStyle w:val="BodyText"/>
      </w:pPr>
      <w:r>
        <w:t xml:space="preserve">مهندس المشروع</w:t>
      </w:r>
    </w:p>
    <w:p>
      <w:pPr>
        <w:pStyle w:val="BodyText"/>
      </w:pPr>
      <w:r>
        <w:t xml:space="preserve">اعتماد المواصفة والكمية</w:t>
      </w:r>
    </w:p>
    <w:p>
      <w:pPr>
        <w:pStyle w:val="BodyText"/>
      </w:pPr>
      <w:r>
        <w:t xml:space="preserve">فحص الموازنة</w:t>
      </w:r>
    </w:p>
    <w:p>
      <w:pPr>
        <w:pStyle w:val="BodyText"/>
      </w:pPr>
      <w:r>
        <w:t xml:space="preserve">المتبقي في بند المشروع</w:t>
      </w:r>
    </w:p>
    <w:p>
      <w:pPr>
        <w:pStyle w:val="BodyText"/>
      </w:pPr>
      <w:r>
        <w:t xml:space="preserve">مدير المشتريات</w:t>
      </w:r>
    </w:p>
    <w:p>
      <w:pPr>
        <w:pStyle w:val="BodyText"/>
      </w:pPr>
      <w:r>
        <w:t xml:space="preserve">حتى حد القيمة الأول</w:t>
      </w:r>
    </w:p>
    <w:p>
      <w:pPr>
        <w:pStyle w:val="BodyText"/>
      </w:pPr>
      <w:r>
        <w:t xml:space="preserve">الإدارة المالية</w:t>
      </w:r>
    </w:p>
    <w:p>
      <w:pPr>
        <w:pStyle w:val="BodyText"/>
      </w:pPr>
      <w:r>
        <w:t xml:space="preserve">القيم المرتفعة والعقود</w:t>
      </w:r>
    </w:p>
    <w:p>
      <w:pPr>
        <w:pStyle w:val="BodyText"/>
      </w:pPr>
      <w:r>
        <w:t xml:space="preserve">اعتماد نهائي</w:t>
      </w:r>
    </w:p>
    <w:p>
      <w:pPr>
        <w:pStyle w:val="BodyText"/>
      </w:pPr>
      <w:r>
        <w:t xml:space="preserve">الأمر يصبح التزاماً</w:t>
      </w:r>
    </w:p>
    <w:p>
      <w:pPr>
        <w:pStyle w:val="BodyText"/>
      </w:pPr>
      <w:r>
        <w:t xml:space="preserve">ملاحظة الصلاحيات</w:t>
      </w:r>
    </w:p>
    <w:p>
      <w:pPr>
        <w:pStyle w:val="BodyText"/>
      </w:pPr>
      <w:r>
        <w:t xml:space="preserve">تُضبط حدود الصلاحية بقيم KWD يحدّدها العميل ضمن مرحلة التهيئة، وتوزَّع على 15 مستخدماً باسم وبصلاحية، مع إمكان تعديلها لاحقاً بأداة Studio دون برمجة.</w:t>
      </w:r>
    </w:p>
    <w:p>
      <w:pPr>
        <w:pStyle w:val="BodyText"/>
      </w:pPr>
      <w:r>
        <w:t xml:space="preserve">وحدة المشتريات والتوريد</w:t>
      </w:r>
    </w:p>
    <w:p>
      <w:pPr>
        <w:pStyle w:val="Heading3"/>
      </w:pPr>
      <w:bookmarkStart w:id="124" w:name="التقارير-والتحليلات-2"/>
      <w:r>
        <w:t xml:space="preserve">التقارير والتحليلات</w:t>
      </w:r>
      <w:bookmarkEnd w:id="124"/>
    </w:p>
    <w:p>
      <w:pPr>
        <w:pStyle w:val="FirstParagraph"/>
      </w:pPr>
      <w:r>
        <w:t xml:space="preserve">تقارير تجيب على أسئلة الإدارة مباشرة: كم أنفقنا على كل مشروع، وكم وفّرنا من المقارنة، ومن من الموردين يلتزم، وأين تجاوزت تكلفة الباطن أو المعدات موازنتها.</w:t>
      </w:r>
    </w:p>
    <w:p>
      <w:pPr>
        <w:pStyle w:val="Heading3"/>
      </w:pPr>
      <w:bookmarkStart w:id="125" w:name="المشتريات-لكل-مشروع"/>
      <w:r>
        <w:t xml:space="preserve">المشتريات لكل مشروع</w:t>
      </w:r>
      <w:bookmarkEnd w:id="125"/>
    </w:p>
    <w:p>
      <w:pPr>
        <w:pStyle w:val="FirstParagraph"/>
      </w:pPr>
      <w:r>
        <w:t xml:space="preserve">مجمّع ومفصّل في تقرير واحد</w:t>
      </w:r>
    </w:p>
    <w:p>
      <w:pPr>
        <w:pStyle w:val="BodyText"/>
      </w:pPr>
      <w:r>
        <w:t xml:space="preserve">إجمالي مشتريات كل مشروع بمقارنته بالموازنة المعتمدة، مع إمكان النزول من الرقم المجمّع إلى أمر الشراء وسند الاستلام نفسه.</w:t>
      </w:r>
    </w:p>
    <w:p>
      <w:pPr>
        <w:numPr>
          <w:ilvl w:val="0"/>
          <w:numId w:val="1045"/>
        </w:numPr>
        <w:pStyle w:val="Compact"/>
      </w:pPr>
      <w:r>
        <w:t xml:space="preserve">إجمالي المشتريات لكل مشروع بعملة KWD</w:t>
      </w:r>
    </w:p>
    <w:p>
      <w:pPr>
        <w:numPr>
          <w:ilvl w:val="0"/>
          <w:numId w:val="1045"/>
        </w:numPr>
        <w:pStyle w:val="Compact"/>
      </w:pPr>
      <w:r>
        <w:t xml:space="preserve">توزيع الإنفاق على البنود: مواد، باطن، معدات، وقود</w:t>
      </w:r>
    </w:p>
    <w:p>
      <w:pPr>
        <w:numPr>
          <w:ilvl w:val="0"/>
          <w:numId w:val="1045"/>
        </w:numPr>
        <w:pStyle w:val="Compact"/>
      </w:pPr>
      <w:r>
        <w:t xml:space="preserve">المنصرف مقابل الموازنة ونسبة الاستهلاك</w:t>
      </w:r>
    </w:p>
    <w:p>
      <w:pPr>
        <w:numPr>
          <w:ilvl w:val="0"/>
          <w:numId w:val="1045"/>
        </w:numPr>
        <w:pStyle w:val="Compact"/>
      </w:pPr>
      <w:r>
        <w:t xml:space="preserve">مقارنة المشاريع الجارية جنباً إلى جنب</w:t>
      </w:r>
    </w:p>
    <w:p>
      <w:pPr>
        <w:pStyle w:val="FirstParagraph"/>
      </w:pPr>
      <w:r>
        <w:t xml:space="preserve">كل رقم قابل للفتح حتى مستند المصدر</w:t>
      </w:r>
    </w:p>
    <w:p>
      <w:pPr>
        <w:pStyle w:val="Heading3"/>
      </w:pPr>
      <w:bookmarkStart w:id="126" w:name="الوفر-وتطور-الأسعار"/>
      <w:r>
        <w:t xml:space="preserve">الوفر وتطوّر الأسعار</w:t>
      </w:r>
      <w:bookmarkEnd w:id="126"/>
    </w:p>
    <w:p>
      <w:pPr>
        <w:pStyle w:val="FirstParagraph"/>
      </w:pPr>
      <w:r>
        <w:t xml:space="preserve">أثر المقارنة بالأرقام</w:t>
      </w:r>
    </w:p>
    <w:p>
      <w:pPr>
        <w:pStyle w:val="BodyText"/>
      </w:pPr>
      <w:r>
        <w:t xml:space="preserve">يقيس التقرير الفرق بين العرض المعتمد وأعلى عرض وآخر سعر شراء، فيظهر الوفر الذي حققته دورة المقارنة على مستوى المادة والمشروع.</w:t>
      </w:r>
    </w:p>
    <w:p>
      <w:pPr>
        <w:numPr>
          <w:ilvl w:val="0"/>
          <w:numId w:val="1046"/>
        </w:numPr>
        <w:pStyle w:val="Compact"/>
      </w:pPr>
      <w:r>
        <w:t xml:space="preserve">الوفر المحقق من مقارنة العروض لكل أمر شراء</w:t>
      </w:r>
    </w:p>
    <w:p>
      <w:pPr>
        <w:numPr>
          <w:ilvl w:val="0"/>
          <w:numId w:val="1046"/>
        </w:numPr>
        <w:pStyle w:val="Compact"/>
      </w:pPr>
      <w:r>
        <w:t xml:space="preserve">منحنى سعر المواد الرئيسية: حديد، أسمنت، خرسانة</w:t>
      </w:r>
    </w:p>
    <w:p>
      <w:pPr>
        <w:numPr>
          <w:ilvl w:val="0"/>
          <w:numId w:val="1046"/>
        </w:numPr>
        <w:pStyle w:val="Compact"/>
      </w:pPr>
      <w:r>
        <w:t xml:space="preserve">أعلى وأقل سعر شراء لكل مادة خلال الفترة</w:t>
      </w:r>
    </w:p>
    <w:p>
      <w:pPr>
        <w:numPr>
          <w:ilvl w:val="0"/>
          <w:numId w:val="1046"/>
        </w:numPr>
        <w:pStyle w:val="Compact"/>
      </w:pPr>
      <w:r>
        <w:t xml:space="preserve">أوامر الشراء التي اعتُمدت خارج الأقل سعراً وأسبابها</w:t>
      </w:r>
    </w:p>
    <w:p>
      <w:pPr>
        <w:pStyle w:val="FirstParagraph"/>
      </w:pPr>
      <w:r>
        <w:t xml:space="preserve">الوفر يُعرض بالقيمة وبالنسبة معاً</w:t>
      </w:r>
    </w:p>
    <w:p>
      <w:pPr>
        <w:pStyle w:val="Heading3"/>
      </w:pPr>
      <w:bookmarkStart w:id="127" w:name="الذمم-الدائنة-والالتزام"/>
      <w:r>
        <w:t xml:space="preserve">الذمم الدائنة والالتزام</w:t>
      </w:r>
      <w:bookmarkEnd w:id="127"/>
    </w:p>
    <w:p>
      <w:pPr>
        <w:pStyle w:val="FirstParagraph"/>
      </w:pPr>
      <w:r>
        <w:t xml:space="preserve">أعمار الدين ودقة المواعيد</w:t>
      </w:r>
    </w:p>
    <w:p>
      <w:pPr>
        <w:pStyle w:val="BodyText"/>
      </w:pPr>
      <w:r>
        <w:t xml:space="preserve">جانبان من علاقة واحدة: ما لنا على المورد من التزام بالموعد، وما عليه لنا من مستحقات وأعمارها، ليُبنى جدول السداد على أساس سليم.</w:t>
      </w:r>
    </w:p>
    <w:p>
      <w:pPr>
        <w:numPr>
          <w:ilvl w:val="0"/>
          <w:numId w:val="1047"/>
        </w:numPr>
        <w:pStyle w:val="Compact"/>
      </w:pPr>
      <w:r>
        <w:t xml:space="preserve">أعمار الذمم الدائنة بفئات 30 و60 و90 يوماً</w:t>
      </w:r>
    </w:p>
    <w:p>
      <w:pPr>
        <w:numPr>
          <w:ilvl w:val="0"/>
          <w:numId w:val="1047"/>
        </w:numPr>
        <w:pStyle w:val="Compact"/>
      </w:pPr>
      <w:r>
        <w:t xml:space="preserve">نسبة التزام كل مورد بمواعيد التوريد</w:t>
      </w:r>
    </w:p>
    <w:p>
      <w:pPr>
        <w:numPr>
          <w:ilvl w:val="0"/>
          <w:numId w:val="1047"/>
        </w:numPr>
        <w:pStyle w:val="Compact"/>
      </w:pPr>
      <w:r>
        <w:t xml:space="preserve">الفواتير المعلّقة بسبب فروق المطابقة الثلاثية</w:t>
      </w:r>
    </w:p>
    <w:p>
      <w:pPr>
        <w:numPr>
          <w:ilvl w:val="0"/>
          <w:numId w:val="1047"/>
        </w:numPr>
        <w:pStyle w:val="Compact"/>
      </w:pPr>
      <w:r>
        <w:t xml:space="preserve">الالتزامات المستقبلية من أوامر الشراء غير المستلمة</w:t>
      </w:r>
    </w:p>
    <w:p>
      <w:pPr>
        <w:pStyle w:val="FirstParagraph"/>
      </w:pPr>
      <w:r>
        <w:t xml:space="preserve">جدول السداد يغذّي تقرير التدفق النقدي</w:t>
      </w:r>
    </w:p>
    <w:p>
      <w:pPr>
        <w:pStyle w:val="Heading3"/>
      </w:pPr>
      <w:bookmarkStart w:id="128" w:name="الباطن-والمعدات-مقابل-الموازنة"/>
      <w:r>
        <w:t xml:space="preserve">الباطن والمعدات مقابل الموازنة</w:t>
      </w:r>
      <w:bookmarkEnd w:id="128"/>
    </w:p>
    <w:p>
      <w:pPr>
        <w:pStyle w:val="FirstParagraph"/>
      </w:pPr>
      <w:r>
        <w:t xml:space="preserve">أين يتسرّب الهامش</w:t>
      </w:r>
    </w:p>
    <w:p>
      <w:pPr>
        <w:pStyle w:val="BodyText"/>
      </w:pPr>
      <w:r>
        <w:t xml:space="preserve">بندان يلتهمان هامش المقاول إن لم يُراقبا: تكلفة أعمال الباطن مقابل قيمة العقد، وتكلفة المعدات مقابل ما خُصص لها في كل مشروع.</w:t>
      </w:r>
    </w:p>
    <w:p>
      <w:pPr>
        <w:numPr>
          <w:ilvl w:val="0"/>
          <w:numId w:val="1048"/>
        </w:numPr>
        <w:pStyle w:val="Compact"/>
      </w:pPr>
      <w:r>
        <w:t xml:space="preserve">تكلفة الباطن الفعلية مقابل الموازنة لكل عقد</w:t>
      </w:r>
    </w:p>
    <w:p>
      <w:pPr>
        <w:numPr>
          <w:ilvl w:val="0"/>
          <w:numId w:val="1048"/>
        </w:numPr>
        <w:pStyle w:val="Compact"/>
      </w:pPr>
      <w:r>
        <w:t xml:space="preserve">المستخلصات المعتمدة والمحتجزات القائمة لكل مقاول</w:t>
      </w:r>
    </w:p>
    <w:p>
      <w:pPr>
        <w:numPr>
          <w:ilvl w:val="0"/>
          <w:numId w:val="1048"/>
        </w:numPr>
        <w:pStyle w:val="Compact"/>
      </w:pPr>
      <w:r>
        <w:t xml:space="preserve">تكلفة المعدات لكل مشروع: إيجار ووقود وصيانة</w:t>
      </w:r>
    </w:p>
    <w:p>
      <w:pPr>
        <w:numPr>
          <w:ilvl w:val="0"/>
          <w:numId w:val="1048"/>
        </w:numPr>
        <w:pStyle w:val="Compact"/>
      </w:pPr>
      <w:r>
        <w:t xml:space="preserve">مؤشرات إنذار عند اقتراب البند من سقفه</w:t>
      </w:r>
    </w:p>
    <w:p>
      <w:pPr>
        <w:pStyle w:val="FirstParagraph"/>
      </w:pPr>
      <w:r>
        <w:t xml:space="preserve">تنبيه آلي قبل تجاوز البند لا بعده</w:t>
      </w:r>
    </w:p>
    <w:p>
      <w:pPr>
        <w:pStyle w:val="Heading3"/>
      </w:pPr>
      <w:bookmarkStart w:id="129" w:name="X5ab3c59a87a2d894968d1e70bbc9bbb8c2428e2"/>
      <w:r>
        <w:t xml:space="preserve">مؤشرات الأداء الرئيسية — لوحة مشتريات لؤلؤة الشايع</w:t>
      </w:r>
      <w:bookmarkEnd w:id="129"/>
    </w:p>
    <w:p>
      <w:pPr>
        <w:pStyle w:val="FirstParagraph"/>
      </w:pPr>
      <w:r>
        <w:t xml:space="preserve">مؤشرات حيّة تظهر للإدارة عند تسجيل الدخول، مجمّعة وموزّعة على كل مشروع</w:t>
      </w:r>
    </w:p>
    <w:p>
      <w:pPr>
        <w:pStyle w:val="BodyText"/>
      </w:pPr>
      <w:r>
        <w:t xml:space="preserve">KWD</w:t>
      </w:r>
    </w:p>
    <w:p>
      <w:pPr>
        <w:pStyle w:val="BodyText"/>
      </w:pPr>
      <w:r>
        <w:t xml:space="preserve">مشتريات المشروع</w:t>
      </w:r>
    </w:p>
    <w:p>
      <w:pPr>
        <w:pStyle w:val="BodyText"/>
      </w:pPr>
      <w:r>
        <w:t xml:space="preserve">إجمالي المنصرف حتى تاريخه</w:t>
      </w:r>
    </w:p>
    <w:p>
      <w:pPr>
        <w:pStyle w:val="BodyText"/>
      </w:pPr>
      <w:r>
        <w:t xml:space="preserve">الوفر المحقق</w:t>
      </w:r>
    </w:p>
    <w:p>
      <w:pPr>
        <w:pStyle w:val="BodyText"/>
      </w:pPr>
      <w:r>
        <w:t xml:space="preserve">من مقارنة العروض</w:t>
      </w:r>
    </w:p>
    <w:p>
      <w:pPr>
        <w:pStyle w:val="BodyText"/>
      </w:pPr>
      <w:r>
        <w:t xml:space="preserve">التزام الموردين</w:t>
      </w:r>
    </w:p>
    <w:p>
      <w:pPr>
        <w:pStyle w:val="BodyText"/>
      </w:pPr>
      <w:r>
        <w:t xml:space="preserve">توريد في الموعد المتفق</w:t>
      </w:r>
    </w:p>
    <w:p>
      <w:pPr>
        <w:pStyle w:val="BodyText"/>
      </w:pPr>
      <w:r>
        <w:t xml:space="preserve">أعمار الدائنة</w:t>
      </w:r>
    </w:p>
    <w:p>
      <w:pPr>
        <w:pStyle w:val="BodyText"/>
      </w:pPr>
      <w:r>
        <w:t xml:space="preserve">فئات 30 و60 و90 يوماً</w:t>
      </w:r>
    </w:p>
    <w:p>
      <w:pPr>
        <w:pStyle w:val="BodyText"/>
      </w:pPr>
      <w:r>
        <w:t xml:space="preserve">تكلفة الباطن</w:t>
      </w:r>
    </w:p>
    <w:p>
      <w:pPr>
        <w:pStyle w:val="BodyText"/>
      </w:pPr>
      <w:r>
        <w:t xml:space="preserve">الفعلي مقابل الموازنة</w:t>
      </w:r>
    </w:p>
    <w:p>
      <w:pPr>
        <w:pStyle w:val="BodyText"/>
      </w:pPr>
      <w:r>
        <w:t xml:space="preserve">KWD</w:t>
      </w:r>
    </w:p>
    <w:p>
      <w:pPr>
        <w:pStyle w:val="BodyText"/>
      </w:pPr>
      <w:r>
        <w:t xml:space="preserve">تكلفة المعدات</w:t>
      </w:r>
    </w:p>
    <w:p>
      <w:pPr>
        <w:pStyle w:val="BodyText"/>
      </w:pPr>
      <w:r>
        <w:t xml:space="preserve">لكل مشروع على حدة</w:t>
      </w:r>
    </w:p>
    <w:p>
      <w:pPr>
        <w:pStyle w:val="BodyText"/>
      </w:pPr>
      <w:r>
        <w:t xml:space="preserve">ملاحظة التقارير</w:t>
      </w:r>
    </w:p>
    <w:p>
      <w:pPr>
        <w:pStyle w:val="BodyText"/>
      </w:pPr>
      <w:r>
        <w:t xml:space="preserve">كل التقارير محكومة بالصلاحيات: مسؤول الموقع يرى مشروعه فقط، والإدارة ترى المجمّع وكل مشروع على حدة — وتُصدَّر جميعها إلى Excel و PDF بضغطة واحدة.</w:t>
      </w:r>
    </w:p>
    <w:p>
      <w:pPr>
        <w:pStyle w:val="BodyText"/>
      </w:pPr>
      <w:r>
        <w:t xml:space="preserve">وحدة المشتريات والتوريد</w:t>
      </w:r>
    </w:p>
    <w:p>
      <w:pPr>
        <w:pStyle w:val="Heading3"/>
      </w:pPr>
      <w:bookmarkStart w:id="130" w:name="القيمة-المضافة-والتكامل-2"/>
      <w:r>
        <w:t xml:space="preserve">القيمة المضافة والتكامل</w:t>
      </w:r>
      <w:bookmarkEnd w:id="130"/>
    </w:p>
    <w:p>
      <w:pPr>
        <w:pStyle w:val="FirstParagraph"/>
      </w:pPr>
      <w:r>
        <w:t xml:space="preserve">لا تعمل وحدة المشتريات وحدها: الطلب يأتي من المخازن والمشروع، والاستلام يحدّث المخزون، والفاتورة تنزل للمحاسبة على مركز تكلفة المشروع وتظهر في تقارير الربحية ولوحات المعلومات.</w:t>
      </w:r>
    </w:p>
    <w:p>
      <w:pPr>
        <w:pStyle w:val="Heading3"/>
      </w:pPr>
      <w:bookmarkStart w:id="131" w:name="التكامل-مع-باقي-الوحدات"/>
      <w:r>
        <w:t xml:space="preserve">التكامل مع باقي الوحدات</w:t>
      </w:r>
      <w:bookmarkEnd w:id="131"/>
    </w:p>
    <w:p>
      <w:pPr>
        <w:pStyle w:val="FirstParagraph"/>
      </w:pPr>
      <w:r>
        <w:t xml:space="preserve">منظومة واحدة بلا إدخال مزدوج</w:t>
      </w:r>
    </w:p>
    <w:p>
      <w:pPr>
        <w:pStyle w:val="BodyText"/>
      </w:pPr>
      <w:r>
        <w:t xml:space="preserve">كل خطوة في دورة الشراء تُحرّك الوحدة التالية آلياً، فلا يُدخل الرقم مرتين ولا يضيع التزام بين قسم وآخر.</w:t>
      </w:r>
    </w:p>
    <w:p>
      <w:pPr>
        <w:numPr>
          <w:ilvl w:val="0"/>
          <w:numId w:val="1049"/>
        </w:numPr>
        <w:pStyle w:val="Compact"/>
      </w:pPr>
      <w:r>
        <w:t xml:space="preserve">المخازن: الطلب من رصيد الموقع والاستلام يحدّث المخزون</w:t>
      </w:r>
    </w:p>
    <w:p>
      <w:pPr>
        <w:numPr>
          <w:ilvl w:val="0"/>
          <w:numId w:val="1049"/>
        </w:numPr>
        <w:pStyle w:val="Compact"/>
      </w:pPr>
      <w:r>
        <w:t xml:space="preserve">المشاريع: التكلفة على مركز تكلفة المشروع لحظة الاستلام</w:t>
      </w:r>
    </w:p>
    <w:p>
      <w:pPr>
        <w:numPr>
          <w:ilvl w:val="0"/>
          <w:numId w:val="1049"/>
        </w:numPr>
        <w:pStyle w:val="Compact"/>
      </w:pPr>
      <w:r>
        <w:t xml:space="preserve">المحاسبة: فاتورة المورد وقيدها وجدول سدادها</w:t>
      </w:r>
    </w:p>
    <w:p>
      <w:pPr>
        <w:numPr>
          <w:ilvl w:val="0"/>
          <w:numId w:val="1049"/>
        </w:numPr>
        <w:pStyle w:val="Compact"/>
      </w:pPr>
      <w:r>
        <w:t xml:space="preserve">الموارد البشرية: عمالة الباطن وربطها بموقع التنفيذ</w:t>
      </w:r>
    </w:p>
    <w:p>
      <w:pPr>
        <w:pStyle w:val="FirstParagraph"/>
      </w:pPr>
      <w:r>
        <w:t xml:space="preserve">حساب تحليلي لكل مشروع عبر Analytic Accounting</w:t>
      </w:r>
    </w:p>
    <w:p>
      <w:pPr>
        <w:pStyle w:val="Heading3"/>
      </w:pPr>
      <w:bookmarkStart w:id="132" w:name="المشتريات-من-الموقع"/>
      <w:r>
        <w:t xml:space="preserve">المشتريات من الموقع</w:t>
      </w:r>
      <w:bookmarkEnd w:id="132"/>
    </w:p>
    <w:p>
      <w:pPr>
        <w:pStyle w:val="FirstParagraph"/>
      </w:pPr>
      <w:r>
        <w:t xml:space="preserve">طلب واعتماد واستلام بالهاتف</w:t>
      </w:r>
    </w:p>
    <w:p>
      <w:pPr>
        <w:pStyle w:val="BodyText"/>
      </w:pPr>
      <w:r>
        <w:t xml:space="preserve">مهندسو لؤلؤة الشايع في مواقعهم لا في المكاتب؛ التطبيق يضع دورة الشراء كاملة في اليد فلا يتوقف العمل بانتظار ورقة.</w:t>
      </w:r>
    </w:p>
    <w:p>
      <w:pPr>
        <w:numPr>
          <w:ilvl w:val="0"/>
          <w:numId w:val="1050"/>
        </w:numPr>
        <w:pStyle w:val="Compact"/>
      </w:pPr>
      <w:r>
        <w:t xml:space="preserve">رفع طلب المواد من الموقع بالكمية وتاريخ الاحتياج</w:t>
      </w:r>
    </w:p>
    <w:p>
      <w:pPr>
        <w:numPr>
          <w:ilvl w:val="0"/>
          <w:numId w:val="1050"/>
        </w:numPr>
        <w:pStyle w:val="Compact"/>
      </w:pPr>
      <w:r>
        <w:t xml:space="preserve">اعتماد المهندس أو المدير من الهاتف مباشرة</w:t>
      </w:r>
    </w:p>
    <w:p>
      <w:pPr>
        <w:numPr>
          <w:ilvl w:val="0"/>
          <w:numId w:val="1050"/>
        </w:numPr>
        <w:pStyle w:val="Compact"/>
      </w:pPr>
      <w:r>
        <w:t xml:space="preserve">تصوير المواد المستلمة وإرفاقها بسند الاستلام</w:t>
      </w:r>
    </w:p>
    <w:p>
      <w:pPr>
        <w:numPr>
          <w:ilvl w:val="0"/>
          <w:numId w:val="1050"/>
        </w:numPr>
        <w:pStyle w:val="Compact"/>
      </w:pPr>
      <w:r>
        <w:t xml:space="preserve">تسجيل الرفض الجزئي وأسبابه لحظة التوريد</w:t>
      </w:r>
    </w:p>
    <w:p>
      <w:pPr>
        <w:pStyle w:val="FirstParagraph"/>
      </w:pPr>
      <w:r>
        <w:t xml:space="preserve">استضافة سحابية على Odoo.sh تتيح الوصول من أي موقع</w:t>
      </w:r>
    </w:p>
    <w:p>
      <w:pPr>
        <w:pStyle w:val="Heading3"/>
      </w:pPr>
      <w:bookmarkStart w:id="133" w:name="أرشيف-مستندات-التوريد"/>
      <w:r>
        <w:t xml:space="preserve">أرشيف مستندات التوريد</w:t>
      </w:r>
      <w:bookmarkEnd w:id="133"/>
    </w:p>
    <w:p>
      <w:pPr>
        <w:pStyle w:val="FirstParagraph"/>
      </w:pPr>
      <w:r>
        <w:t xml:space="preserve">ملف كامل لكل عملية شراء</w:t>
      </w:r>
    </w:p>
    <w:p>
      <w:pPr>
        <w:pStyle w:val="BodyText"/>
      </w:pPr>
      <w:r>
        <w:t xml:space="preserve">يصبح كل أمر شراء ملفاً رقمياً مكتملاً يُرجع إليه عند أي مراجعة داخلية أو تدقيق على مشروع حكومي دون البحث في الأدراج.</w:t>
      </w:r>
    </w:p>
    <w:p>
      <w:pPr>
        <w:numPr>
          <w:ilvl w:val="0"/>
          <w:numId w:val="1051"/>
        </w:numPr>
        <w:pStyle w:val="Compact"/>
      </w:pPr>
      <w:r>
        <w:t xml:space="preserve">عروض الأسعار الأصلية وكشف المقارنة المعتمد</w:t>
      </w:r>
    </w:p>
    <w:p>
      <w:pPr>
        <w:numPr>
          <w:ilvl w:val="0"/>
          <w:numId w:val="1051"/>
        </w:numPr>
        <w:pStyle w:val="Compact"/>
      </w:pPr>
      <w:r>
        <w:t xml:space="preserve">أمر الشراء الموقّع وسند الاستلام وفاتورة المورد</w:t>
      </w:r>
    </w:p>
    <w:p>
      <w:pPr>
        <w:numPr>
          <w:ilvl w:val="0"/>
          <w:numId w:val="1051"/>
        </w:numPr>
        <w:pStyle w:val="Compact"/>
      </w:pPr>
      <w:r>
        <w:t xml:space="preserve">عقود الباطن ومستخلصاتها وشهادات التأمين</w:t>
      </w:r>
    </w:p>
    <w:p>
      <w:pPr>
        <w:numPr>
          <w:ilvl w:val="0"/>
          <w:numId w:val="1051"/>
        </w:numPr>
        <w:pStyle w:val="Compact"/>
      </w:pPr>
      <w:r>
        <w:t xml:space="preserve">عقود إيجار المعدات وسجلات الصيانة والوقود</w:t>
      </w:r>
    </w:p>
    <w:p>
      <w:pPr>
        <w:pStyle w:val="FirstParagraph"/>
      </w:pPr>
      <w:r>
        <w:t xml:space="preserve">سجل تدقيق كامل لكل تعديل ومن أجراه</w:t>
      </w:r>
    </w:p>
    <w:p>
      <w:pPr>
        <w:pStyle w:val="Heading3"/>
      </w:pPr>
      <w:bookmarkStart w:id="134" w:name="تخصيص-لقطاع-المقاولات"/>
      <w:r>
        <w:t xml:space="preserve">تخصيص لقطاع المقاولات</w:t>
      </w:r>
      <w:bookmarkEnd w:id="134"/>
    </w:p>
    <w:p>
      <w:pPr>
        <w:pStyle w:val="FirstParagraph"/>
      </w:pPr>
      <w:r>
        <w:t xml:space="preserve">لا نظام شراء عام</w:t>
      </w:r>
    </w:p>
    <w:p>
      <w:pPr>
        <w:pStyle w:val="BodyText"/>
      </w:pPr>
      <w:r>
        <w:t xml:space="preserve">تهيّئ شركة ديكسور للحلول المتكاملة الحاسوبية ذ.م.م. الوحدة على طريقة عمل لؤلؤة الشايع نفسها، خلال 8 إلى 10 أسابيع تنفيذ يتبعها 12 شهر دعم.</w:t>
      </w:r>
    </w:p>
    <w:p>
      <w:pPr>
        <w:numPr>
          <w:ilvl w:val="0"/>
          <w:numId w:val="1052"/>
        </w:numPr>
        <w:pStyle w:val="Compact"/>
      </w:pPr>
      <w:r>
        <w:t xml:space="preserve">هيكل مشاريع ومراكز تكلفة يطابق مواقع الشركة الفعلية</w:t>
      </w:r>
    </w:p>
    <w:p>
      <w:pPr>
        <w:numPr>
          <w:ilvl w:val="0"/>
          <w:numId w:val="1052"/>
        </w:numPr>
        <w:pStyle w:val="Compact"/>
      </w:pPr>
      <w:r>
        <w:t xml:space="preserve">نماذج أوامر الشراء والمستخلصات بالعربية والإنجليزية</w:t>
      </w:r>
    </w:p>
    <w:p>
      <w:pPr>
        <w:numPr>
          <w:ilvl w:val="0"/>
          <w:numId w:val="1052"/>
        </w:numPr>
        <w:pStyle w:val="Compact"/>
      </w:pPr>
      <w:r>
        <w:t xml:space="preserve">مسارات اعتماد خاصة بالمشاريع والمناقصات الحكومية</w:t>
      </w:r>
    </w:p>
    <w:p>
      <w:pPr>
        <w:numPr>
          <w:ilvl w:val="0"/>
          <w:numId w:val="1052"/>
        </w:numPr>
        <w:pStyle w:val="Compact"/>
      </w:pPr>
      <w:r>
        <w:t xml:space="preserve">ربط الشراء بدفتر شيكات المشروع وحساباته البنكية</w:t>
      </w:r>
    </w:p>
    <w:p>
      <w:pPr>
        <w:pStyle w:val="FirstParagraph"/>
      </w:pPr>
      <w:r>
        <w:t xml:space="preserve">تدريب فرق المواقع والمشتريات ضمن نطاق التنفيذ</w:t>
      </w:r>
    </w:p>
    <w:p>
      <w:pPr>
        <w:pStyle w:val="Heading3"/>
      </w:pPr>
      <w:bookmarkStart w:id="135" w:name="Xade5d0e62d97fc4ac0e6f7af0478ca7137d9240"/>
      <w:r>
        <w:t xml:space="preserve">من طلب الموقع إلى ربحية المشروع — كيف تتصل الوحدات</w:t>
      </w:r>
      <w:bookmarkEnd w:id="135"/>
    </w:p>
    <w:p>
      <w:pPr>
        <w:pStyle w:val="FirstParagraph"/>
      </w:pPr>
      <w:r>
        <w:t xml:space="preserve">سلسلة واحدة تبدأ عند المهندس وتنتهي عند لوحة معلومات الإدارة</w:t>
      </w:r>
    </w:p>
    <w:p>
      <w:pPr>
        <w:pStyle w:val="BodyText"/>
      </w:pPr>
      <w:r>
        <w:t xml:space="preserve">طلب الموقع</w:t>
      </w:r>
    </w:p>
    <w:p>
      <w:pPr>
        <w:pStyle w:val="BodyText"/>
      </w:pPr>
      <w:r>
        <w:t xml:space="preserve">المخازن والمشروع مصدر الطلب</w:t>
      </w:r>
    </w:p>
    <w:p>
      <w:pPr>
        <w:pStyle w:val="BodyText"/>
      </w:pPr>
      <w:r>
        <w:t xml:space="preserve">أمر الشراء</w:t>
      </w:r>
    </w:p>
    <w:p>
      <w:pPr>
        <w:pStyle w:val="BodyText"/>
      </w:pPr>
      <w:r>
        <w:t xml:space="preserve">يحمل مركز تكلفة المشروع</w:t>
      </w:r>
    </w:p>
    <w:p>
      <w:pPr>
        <w:pStyle w:val="BodyText"/>
      </w:pPr>
      <w:r>
        <w:t xml:space="preserve">الاستلام</w:t>
      </w:r>
    </w:p>
    <w:p>
      <w:pPr>
        <w:pStyle w:val="BodyText"/>
      </w:pPr>
      <w:r>
        <w:t xml:space="preserve">يحدّث مخزون الموقع فوراً</w:t>
      </w:r>
    </w:p>
    <w:p>
      <w:pPr>
        <w:pStyle w:val="BodyText"/>
      </w:pPr>
      <w:r>
        <w:t xml:space="preserve">فاتورة المورد</w:t>
      </w:r>
    </w:p>
    <w:p>
      <w:pPr>
        <w:pStyle w:val="BodyText"/>
      </w:pPr>
      <w:r>
        <w:t xml:space="preserve">تنزل للمحاسبة على المشروع</w:t>
      </w:r>
    </w:p>
    <w:p>
      <w:pPr>
        <w:pStyle w:val="BodyText"/>
      </w:pPr>
      <w:r>
        <w:t xml:space="preserve">ربحية المشروع</w:t>
      </w:r>
    </w:p>
    <w:p>
      <w:pPr>
        <w:pStyle w:val="BodyText"/>
      </w:pPr>
      <w:r>
        <w:t xml:space="preserve">تقارير الربحية ولوحات المعلومات</w:t>
      </w:r>
    </w:p>
    <w:p>
      <w:pPr>
        <w:pStyle w:val="BodyText"/>
      </w:pPr>
      <w:r>
        <w:t xml:space="preserve">DEXOR — Systems with Souls</w:t>
      </w:r>
    </w:p>
    <w:p>
      <w:pPr>
        <w:pStyle w:val="BodyText"/>
      </w:pPr>
      <w:r>
        <w:t xml:space="preserve">هذا العرض معدّ خصيصاً لشركة لؤلؤة الشايع للمقاولات العامة والإنشاءات في دولة الكويت؛ وتُضبط دورات الشراء والاعتماد وحقول أوامر الشراء على واقع مشاريع الشركة ومواقعها بناءً على طلبها.</w:t>
      </w:r>
    </w:p>
    <w:p>
      <w:pPr>
        <w:pStyle w:val="Heading2"/>
      </w:pPr>
      <w:bookmarkStart w:id="136" w:name="Xffc75536c13eaf93494fa9ac1ba7fcfdc8b8886"/>
      <w:r>
        <w:t xml:space="preserve">وحدة المخازن والمستودعات (Inventory &amp; Warehousing)</w:t>
      </w:r>
      <w:bookmarkEnd w:id="136"/>
    </w:p>
    <w:p>
      <w:pPr>
        <w:pStyle w:val="FirstParagraph"/>
      </w:pPr>
      <w:r>
        <w:t xml:space="preserve">وحدة المخازن والمستودعات</w:t>
      </w:r>
    </w:p>
    <w:p>
      <w:pPr>
        <w:pStyle w:val="Heading3"/>
      </w:pPr>
      <w:bookmarkStart w:id="137" w:name="المخازن-والمستودعات-نظرة-عامة"/>
      <w:r>
        <w:t xml:space="preserve">المخازن والمستودعات — نظرة عامة</w:t>
      </w:r>
      <w:bookmarkEnd w:id="137"/>
    </w:p>
    <w:p>
      <w:pPr>
        <w:pStyle w:val="FirstParagraph"/>
      </w:pPr>
      <w:r>
        <w:t xml:space="preserve">وحدة المخازن والمستودعات ( Inventory &amp; Warehousing ) مُهيّأة لطبيعة عمل شركة لؤلؤة الشايع: مخزن رئيسي واحد، ومخزن مستقل لكل موقع مشروع، برصيد منفصل لكل موقع ورؤية موحدة على مستوى الشركة. كل مادة تُصرف تُحمَّل مباشرة على مركز تكلفة مشروعها.</w:t>
      </w:r>
    </w:p>
    <w:p>
      <w:pPr>
        <w:pStyle w:val="BodyText"/>
      </w:pPr>
      <w:r>
        <w:t xml:space="preserve">مخزن رئيسي + مخزن لكل موقع مشروع</w:t>
      </w:r>
    </w:p>
    <w:p>
      <w:pPr>
        <w:pStyle w:val="BodyText"/>
      </w:pPr>
      <w:r>
        <w:t xml:space="preserve">أرصدة منفصلة وتقييم بمتوسط التكلفة</w:t>
      </w:r>
    </w:p>
    <w:p>
      <w:pPr>
        <w:pStyle w:val="BodyText"/>
      </w:pPr>
      <w:r>
        <w:t xml:space="preserve">رؤية موحدة لإدارة الشركة على كل المواقع</w:t>
      </w:r>
    </w:p>
    <w:p>
      <w:pPr>
        <w:pStyle w:val="Heading3"/>
      </w:pPr>
      <w:bookmarkStart w:id="138" w:name="بنية-المخازن"/>
      <w:r>
        <w:t xml:space="preserve">بنية المخازن</w:t>
      </w:r>
      <w:bookmarkEnd w:id="138"/>
    </w:p>
    <w:p>
      <w:pPr>
        <w:pStyle w:val="FirstParagraph"/>
      </w:pPr>
      <w:r>
        <w:t xml:space="preserve">مخزن رئيسي ومخازن مواقع مستقلة</w:t>
      </w:r>
    </w:p>
    <w:p>
      <w:pPr>
        <w:pStyle w:val="BodyText"/>
      </w:pPr>
      <w:r>
        <w:t xml:space="preserve">يُعرَّف لكل موقع مشروع مخزن مستقل له أمين مخزن ومستنداته وأرصدته، بينما يبقى المخزن الرئيسي مرجعاً للتوريد والتغذية وإعادة التوزيع.</w:t>
      </w:r>
    </w:p>
    <w:p>
      <w:pPr>
        <w:numPr>
          <w:ilvl w:val="0"/>
          <w:numId w:val="1053"/>
        </w:numPr>
        <w:pStyle w:val="Compact"/>
      </w:pPr>
      <w:r>
        <w:t xml:space="preserve">مخزن رئيسي واحد يغذّي مخازن المواقع عند الحاجة</w:t>
      </w:r>
    </w:p>
    <w:p>
      <w:pPr>
        <w:numPr>
          <w:ilvl w:val="0"/>
          <w:numId w:val="1053"/>
        </w:numPr>
        <w:pStyle w:val="Compact"/>
      </w:pPr>
      <w:r>
        <w:t xml:space="preserve">رصيد منفصل لكل موقع بالكمية والقيمة</w:t>
      </w:r>
    </w:p>
    <w:p>
      <w:pPr>
        <w:numPr>
          <w:ilvl w:val="0"/>
          <w:numId w:val="1053"/>
        </w:numPr>
        <w:pStyle w:val="Compact"/>
      </w:pPr>
      <w:r>
        <w:t xml:space="preserve">مواقع فرعية داخل المخزن: ساحة، مخزن مغلق، عهدة</w:t>
      </w:r>
    </w:p>
    <w:p>
      <w:pPr>
        <w:numPr>
          <w:ilvl w:val="0"/>
          <w:numId w:val="1053"/>
        </w:numPr>
        <w:pStyle w:val="Compact"/>
      </w:pPr>
      <w:r>
        <w:t xml:space="preserve">صلاحيات محددة: أمين المخزن يرى موقعه فقط</w:t>
      </w:r>
    </w:p>
    <w:p>
      <w:pPr>
        <w:numPr>
          <w:ilvl w:val="0"/>
          <w:numId w:val="1053"/>
        </w:numPr>
        <w:pStyle w:val="Compact"/>
      </w:pPr>
      <w:r>
        <w:t xml:space="preserve">ترقيم موحّد للمستندات يربط الحركة بمشروعها</w:t>
      </w:r>
    </w:p>
    <w:p>
      <w:pPr>
        <w:pStyle w:val="Heading3"/>
      </w:pPr>
      <w:bookmarkStart w:id="139" w:name="تصنيف-المواد"/>
      <w:r>
        <w:t xml:space="preserve">تصنيف المواد</w:t>
      </w:r>
      <w:bookmarkEnd w:id="139"/>
    </w:p>
    <w:p>
      <w:pPr>
        <w:pStyle w:val="FirstParagraph"/>
      </w:pPr>
      <w:r>
        <w:t xml:space="preserve">شجرة أصناف مبنية على واقع المقاولات</w:t>
      </w:r>
    </w:p>
    <w:p>
      <w:pPr>
        <w:pStyle w:val="BodyText"/>
      </w:pPr>
      <w:r>
        <w:t xml:space="preserve">تُصنَّف الأصناف في مجموعات واضحة، ولكل صنف وحدة قياس ورصيد أدنى وحد إعادة طلب، بما يمنع توقّف العمل في الموقع بسبب نفاد مادة.</w:t>
      </w:r>
    </w:p>
    <w:p>
      <w:pPr>
        <w:numPr>
          <w:ilvl w:val="0"/>
          <w:numId w:val="1054"/>
        </w:numPr>
        <w:pStyle w:val="Compact"/>
      </w:pPr>
      <w:r>
        <w:t xml:space="preserve">مواد أساسية: حديد، أسمنت، بلوك، رمل، بحص</w:t>
      </w:r>
    </w:p>
    <w:p>
      <w:pPr>
        <w:numPr>
          <w:ilvl w:val="0"/>
          <w:numId w:val="1054"/>
        </w:numPr>
        <w:pStyle w:val="Compact"/>
      </w:pPr>
      <w:r>
        <w:t xml:space="preserve">مواد تشطيبات ومواد كهربائية وصحية</w:t>
      </w:r>
    </w:p>
    <w:p>
      <w:pPr>
        <w:numPr>
          <w:ilvl w:val="0"/>
          <w:numId w:val="1054"/>
        </w:numPr>
        <w:pStyle w:val="Compact"/>
      </w:pPr>
      <w:r>
        <w:t xml:space="preserve">مستهلكات الموقع وقطع الغيار</w:t>
      </w:r>
    </w:p>
    <w:p>
      <w:pPr>
        <w:numPr>
          <w:ilvl w:val="0"/>
          <w:numId w:val="1054"/>
        </w:numPr>
        <w:pStyle w:val="Compact"/>
      </w:pPr>
      <w:r>
        <w:t xml:space="preserve">وحدة قياس لكل صنف: طن، متر مكعب، عدد، كيس</w:t>
      </w:r>
    </w:p>
    <w:p>
      <w:pPr>
        <w:pStyle w:val="Heading3"/>
      </w:pPr>
      <w:bookmarkStart w:id="140" w:name="المعدات-والآليات-الإنشائية"/>
      <w:r>
        <w:t xml:space="preserve">المعدات والآليات الإنشائية</w:t>
      </w:r>
      <w:bookmarkEnd w:id="140"/>
    </w:p>
    <w:p>
      <w:pPr>
        <w:pStyle w:val="FirstParagraph"/>
      </w:pPr>
      <w:r>
        <w:t xml:space="preserve">سجل لكل معدة وموقعها الحالي</w:t>
      </w:r>
    </w:p>
    <w:p>
      <w:pPr>
        <w:pStyle w:val="BodyText"/>
      </w:pPr>
      <w:r>
        <w:t xml:space="preserve">لكل معدة بطاقة مستقلة تُظهر الموقع المخصصة له حالياً وتاريخ نقلها بين المشاريع وساعات تشغيلها وجدول صيانتها الدورية.</w:t>
      </w:r>
    </w:p>
    <w:p>
      <w:pPr>
        <w:numPr>
          <w:ilvl w:val="0"/>
          <w:numId w:val="1055"/>
        </w:numPr>
        <w:pStyle w:val="Compact"/>
      </w:pPr>
      <w:r>
        <w:t xml:space="preserve">حفارات، رافعات، خلاطات، مولدات، سقالات</w:t>
      </w:r>
    </w:p>
    <w:p>
      <w:pPr>
        <w:numPr>
          <w:ilvl w:val="0"/>
          <w:numId w:val="1055"/>
        </w:numPr>
        <w:pStyle w:val="Compact"/>
      </w:pPr>
      <w:r>
        <w:t xml:space="preserve">الموقع المخصص حالياً وسجل النقل بين المشاريع</w:t>
      </w:r>
    </w:p>
    <w:p>
      <w:pPr>
        <w:numPr>
          <w:ilvl w:val="0"/>
          <w:numId w:val="1055"/>
        </w:numPr>
        <w:pStyle w:val="Compact"/>
      </w:pPr>
      <w:r>
        <w:t xml:space="preserve">ساعات التشغيل وربطها بتكلفة المشروع</w:t>
      </w:r>
    </w:p>
    <w:p>
      <w:pPr>
        <w:numPr>
          <w:ilvl w:val="0"/>
          <w:numId w:val="1055"/>
        </w:numPr>
        <w:pStyle w:val="Compact"/>
      </w:pPr>
      <w:r>
        <w:t xml:space="preserve">الصيانة الدورية وتنبيه موعدها قبل استحقاقه</w:t>
      </w:r>
    </w:p>
    <w:p>
      <w:pPr>
        <w:numPr>
          <w:ilvl w:val="0"/>
          <w:numId w:val="1055"/>
        </w:numPr>
        <w:pStyle w:val="Compact"/>
      </w:pPr>
      <w:r>
        <w:t xml:space="preserve">تكلفة تشغيل المعدة محمّلة على مشروع عملها</w:t>
      </w:r>
    </w:p>
    <w:p>
      <w:pPr>
        <w:pStyle w:val="Heading3"/>
      </w:pPr>
      <w:bookmarkStart w:id="141" w:name="الرقابة-والجرد"/>
      <w:r>
        <w:t xml:space="preserve">الرقابة والجرد</w:t>
      </w:r>
      <w:bookmarkEnd w:id="141"/>
    </w:p>
    <w:p>
      <w:pPr>
        <w:pStyle w:val="FirstParagraph"/>
      </w:pPr>
      <w:r>
        <w:t xml:space="preserve">جرد دوري ومفاجئ لكل موقع</w:t>
      </w:r>
    </w:p>
    <w:p>
      <w:pPr>
        <w:pStyle w:val="BodyText"/>
      </w:pPr>
      <w:r>
        <w:t xml:space="preserve">يُجرى الجرد على مستوى الموقع، وتُسوّى الفروقات بقيد محاسبي مرتبط بالمشروع، ويُقيَّم المخزون بطريقة متوسط التكلفة.</w:t>
      </w:r>
    </w:p>
    <w:p>
      <w:pPr>
        <w:numPr>
          <w:ilvl w:val="0"/>
          <w:numId w:val="1056"/>
        </w:numPr>
        <w:pStyle w:val="Compact"/>
      </w:pPr>
      <w:r>
        <w:t xml:space="preserve">جرد دوري مجدول وجرد مفاجئ بقرار الإدارة</w:t>
      </w:r>
    </w:p>
    <w:p>
      <w:pPr>
        <w:numPr>
          <w:ilvl w:val="0"/>
          <w:numId w:val="1056"/>
        </w:numPr>
        <w:pStyle w:val="Compact"/>
      </w:pPr>
      <w:r>
        <w:t xml:space="preserve">تسوية الفروقات بقيد يحمل اسم المشروع</w:t>
      </w:r>
    </w:p>
    <w:p>
      <w:pPr>
        <w:numPr>
          <w:ilvl w:val="0"/>
          <w:numId w:val="1056"/>
        </w:numPr>
        <w:pStyle w:val="Compact"/>
      </w:pPr>
      <w:r>
        <w:t xml:space="preserve">تقييم المخزون بمتوسط التكلفة المرجّح</w:t>
      </w:r>
    </w:p>
    <w:p>
      <w:pPr>
        <w:numPr>
          <w:ilvl w:val="0"/>
          <w:numId w:val="1056"/>
        </w:numPr>
        <w:pStyle w:val="Compact"/>
      </w:pPr>
      <w:r>
        <w:t xml:space="preserve">سجل كامل لكل حركة: من نقلها ومتى ولماذا</w:t>
      </w:r>
    </w:p>
    <w:p>
      <w:pPr>
        <w:pStyle w:val="Heading3"/>
      </w:pPr>
      <w:bookmarkStart w:id="142" w:name="Xebd07f26c145b6825db2eda521fd2b15b68c0e2"/>
      <w:r>
        <w:t xml:space="preserve">دورة المادة — من أمر الشراء إلى تحميل التكلفة على المشروع</w:t>
      </w:r>
      <w:bookmarkEnd w:id="142"/>
    </w:p>
    <w:p>
      <w:pPr>
        <w:pStyle w:val="FirstParagraph"/>
      </w:pPr>
      <w:r>
        <w:t xml:space="preserve">ثماني خطوات مستندية مغلقة لا تسمح بصرف مادة دون اعتماد ودون مركز تكلفة</w:t>
      </w:r>
    </w:p>
    <w:p>
      <w:pPr>
        <w:pStyle w:val="BodyText"/>
      </w:pPr>
      <w:r>
        <w:t xml:space="preserve">طلب مواد</w:t>
      </w:r>
    </w:p>
    <w:p>
      <w:pPr>
        <w:pStyle w:val="BodyText"/>
      </w:pPr>
      <w:r>
        <w:t xml:space="preserve">من مهندس الموقع</w:t>
      </w:r>
    </w:p>
    <w:p>
      <w:pPr>
        <w:pStyle w:val="BodyText"/>
      </w:pPr>
      <w:r>
        <w:t xml:space="preserve">أمر شراء</w:t>
      </w:r>
    </w:p>
    <w:p>
      <w:pPr>
        <w:pStyle w:val="BodyText"/>
      </w:pPr>
      <w:r>
        <w:t xml:space="preserve">معتمد من الإدارة</w:t>
      </w:r>
    </w:p>
    <w:p>
      <w:pPr>
        <w:pStyle w:val="BodyText"/>
      </w:pPr>
      <w:r>
        <w:t xml:space="preserve">استلام بالموقع</w:t>
      </w:r>
    </w:p>
    <w:p>
      <w:pPr>
        <w:pStyle w:val="BodyText"/>
      </w:pPr>
      <w:r>
        <w:t xml:space="preserve">في مخزن المشروع</w:t>
      </w:r>
    </w:p>
    <w:p>
      <w:pPr>
        <w:pStyle w:val="BodyText"/>
      </w:pPr>
      <w:r>
        <w:t xml:space="preserve">فحص ومطابقة</w:t>
      </w:r>
    </w:p>
    <w:p>
      <w:pPr>
        <w:pStyle w:val="BodyText"/>
      </w:pPr>
      <w:r>
        <w:t xml:space="preserve">كمية ومواصفة</w:t>
      </w:r>
    </w:p>
    <w:p>
      <w:pPr>
        <w:pStyle w:val="BodyText"/>
      </w:pPr>
      <w:r>
        <w:t xml:space="preserve">أمر صرف</w:t>
      </w:r>
    </w:p>
    <w:p>
      <w:pPr>
        <w:pStyle w:val="BodyText"/>
      </w:pPr>
      <w:r>
        <w:t xml:space="preserve">باعتماد مدير المشروع</w:t>
      </w:r>
    </w:p>
    <w:p>
      <w:pPr>
        <w:pStyle w:val="BodyText"/>
      </w:pPr>
      <w:r>
        <w:t xml:space="preserve">صرف للمشروع</w:t>
      </w:r>
    </w:p>
    <w:p>
      <w:pPr>
        <w:pStyle w:val="BodyText"/>
      </w:pPr>
      <w:r>
        <w:t xml:space="preserve">بتوقيع المستلم</w:t>
      </w:r>
    </w:p>
    <w:p>
      <w:pPr>
        <w:pStyle w:val="BodyText"/>
      </w:pPr>
      <w:r>
        <w:t xml:space="preserve">تحميل التكلفة</w:t>
      </w:r>
    </w:p>
    <w:p>
      <w:pPr>
        <w:pStyle w:val="BodyText"/>
      </w:pPr>
      <w:r>
        <w:t xml:space="preserve">على مركز تكلفة المشروع</w:t>
      </w:r>
    </w:p>
    <w:p>
      <w:pPr>
        <w:pStyle w:val="BodyText"/>
      </w:pPr>
      <w:r>
        <w:t xml:space="preserve">إرجاع أو تحويل</w:t>
      </w:r>
    </w:p>
    <w:p>
      <w:pPr>
        <w:pStyle w:val="BodyText"/>
      </w:pPr>
      <w:r>
        <w:t xml:space="preserve">الفائض لموقع آخر</w:t>
      </w:r>
    </w:p>
    <w:p>
      <w:pPr>
        <w:pStyle w:val="BodyText"/>
      </w:pPr>
      <w:r>
        <w:t xml:space="preserve">ملاحظة تطبيقية</w:t>
      </w:r>
    </w:p>
    <w:p>
      <w:pPr>
        <w:pStyle w:val="BodyText"/>
      </w:pPr>
      <w:r>
        <w:t xml:space="preserve">تُنشأ مخازن المواقع أثناء التهيئة بأسماء مشاريع لؤلؤة الشايع الفعلية، ويُربط كل مخزن بمركز تكلفة مشروعه بحيث لا يمكن صرف مادة دون تحديد المشروع المستفيد.</w:t>
      </w:r>
    </w:p>
    <w:p>
      <w:pPr>
        <w:pStyle w:val="BodyText"/>
      </w:pPr>
      <w:r>
        <w:t xml:space="preserve">المخازن — الصفحة</w:t>
      </w:r>
    </w:p>
    <w:p>
      <w:pPr>
        <w:pStyle w:val="BodyText"/>
      </w:pPr>
      <w:r>
        <w:t xml:space="preserve">وحدة المخازن والمستودعات</w:t>
      </w:r>
    </w:p>
    <w:p>
      <w:pPr>
        <w:pStyle w:val="Heading3"/>
      </w:pPr>
      <w:bookmarkStart w:id="143" w:name="دورة-العمل-داخل-المخزن"/>
      <w:r>
        <w:t xml:space="preserve">دورة العمل داخل المخزن</w:t>
      </w:r>
      <w:bookmarkEnd w:id="143"/>
    </w:p>
    <w:p>
      <w:pPr>
        <w:pStyle w:val="FirstParagraph"/>
      </w:pPr>
      <w:r>
        <w:t xml:space="preserve">مسار مستندي واحد يبدأ من طلب مهندس الموقع وينتهي بقيد التكلفة على مشروعه، مع نقطة اعتماد إلزامية قبل كل صرف، وتوثيق كامل لكل حركة دخول أو خروج أو تحويل.</w:t>
      </w:r>
    </w:p>
    <w:p>
      <w:pPr>
        <w:pStyle w:val="Heading3"/>
      </w:pPr>
      <w:bookmarkStart w:id="144" w:name="طلب-مواد-1"/>
      <w:r>
        <w:t xml:space="preserve">طلب مواد</w:t>
      </w:r>
      <w:bookmarkEnd w:id="144"/>
    </w:p>
    <w:p>
      <w:pPr>
        <w:pStyle w:val="FirstParagraph"/>
      </w:pPr>
      <w:r>
        <w:t xml:space="preserve">مهندس الموقع</w:t>
      </w:r>
    </w:p>
    <w:p>
      <w:pPr>
        <w:pStyle w:val="Heading3"/>
      </w:pPr>
      <w:bookmarkStart w:id="145" w:name="أمر-شراء-1"/>
      <w:r>
        <w:t xml:space="preserve">أمر شراء</w:t>
      </w:r>
      <w:bookmarkEnd w:id="145"/>
    </w:p>
    <w:p>
      <w:pPr>
        <w:pStyle w:val="FirstParagraph"/>
      </w:pPr>
      <w:r>
        <w:t xml:space="preserve">مورد معتمد</w:t>
      </w:r>
    </w:p>
    <w:p>
      <w:pPr>
        <w:pStyle w:val="Heading3"/>
      </w:pPr>
      <w:bookmarkStart w:id="146" w:name="استلام"/>
      <w:r>
        <w:t xml:space="preserve">استلام</w:t>
      </w:r>
      <w:bookmarkEnd w:id="146"/>
    </w:p>
    <w:p>
      <w:pPr>
        <w:pStyle w:val="FirstParagraph"/>
      </w:pPr>
      <w:r>
        <w:t xml:space="preserve">مخزن الموقع</w:t>
      </w:r>
    </w:p>
    <w:p>
      <w:pPr>
        <w:pStyle w:val="Heading3"/>
      </w:pPr>
      <w:bookmarkStart w:id="147" w:name="فحص-ومطابقة"/>
      <w:r>
        <w:t xml:space="preserve">فحص ومطابقة</w:t>
      </w:r>
      <w:bookmarkEnd w:id="147"/>
    </w:p>
    <w:p>
      <w:pPr>
        <w:pStyle w:val="FirstParagraph"/>
      </w:pPr>
      <w:r>
        <w:t xml:space="preserve">مطابق / مرفوض</w:t>
      </w:r>
    </w:p>
    <w:p>
      <w:pPr>
        <w:pStyle w:val="Heading3"/>
      </w:pPr>
      <w:bookmarkStart w:id="148" w:name="إدخال-المخزون"/>
      <w:r>
        <w:t xml:space="preserve">إدخال المخزون</w:t>
      </w:r>
      <w:bookmarkEnd w:id="148"/>
    </w:p>
    <w:p>
      <w:pPr>
        <w:pStyle w:val="FirstParagraph"/>
      </w:pPr>
      <w:r>
        <w:t xml:space="preserve">تحديث الرصيد</w:t>
      </w:r>
    </w:p>
    <w:p>
      <w:pPr>
        <w:pStyle w:val="Heading3"/>
      </w:pPr>
      <w:bookmarkStart w:id="149" w:name="أمر-صرف-معتمد"/>
      <w:r>
        <w:t xml:space="preserve">أمر صرف معتمد</w:t>
      </w:r>
      <w:bookmarkEnd w:id="149"/>
    </w:p>
    <w:p>
      <w:pPr>
        <w:pStyle w:val="FirstParagraph"/>
      </w:pPr>
      <w:r>
        <w:t xml:space="preserve">مدير المشروع</w:t>
      </w:r>
    </w:p>
    <w:p>
      <w:pPr>
        <w:pStyle w:val="Heading3"/>
      </w:pPr>
      <w:bookmarkStart w:id="150" w:name="صرف-للمشروع"/>
      <w:r>
        <w:t xml:space="preserve">صرف للمشروع</w:t>
      </w:r>
      <w:bookmarkEnd w:id="150"/>
    </w:p>
    <w:p>
      <w:pPr>
        <w:pStyle w:val="FirstParagraph"/>
      </w:pPr>
      <w:r>
        <w:t xml:space="preserve">بتوقيع المستلم</w:t>
      </w:r>
    </w:p>
    <w:p>
      <w:pPr>
        <w:pStyle w:val="Heading3"/>
      </w:pPr>
      <w:bookmarkStart w:id="151" w:name="تحميل-التكلفة"/>
      <w:r>
        <w:t xml:space="preserve">تحميل التكلفة</w:t>
      </w:r>
      <w:bookmarkEnd w:id="151"/>
    </w:p>
    <w:p>
      <w:pPr>
        <w:pStyle w:val="FirstParagraph"/>
      </w:pPr>
      <w:r>
        <w:t xml:space="preserve">مركز تكلفة المشروع</w:t>
      </w:r>
    </w:p>
    <w:p>
      <w:pPr>
        <w:pStyle w:val="BodyText"/>
      </w:pPr>
      <w:r>
        <w:t xml:space="preserve">حركة موثقة بالكامل</w:t>
      </w:r>
    </w:p>
    <w:p>
      <w:pPr>
        <w:pStyle w:val="BodyText"/>
      </w:pPr>
      <w:r>
        <w:t xml:space="preserve">كل استلام أو صرف يحمل اسم منفّذه ووقته ومستنده المرجعي.</w:t>
      </w:r>
    </w:p>
    <w:p>
      <w:pPr>
        <w:pStyle w:val="BodyText"/>
      </w:pPr>
      <w:r>
        <w:t xml:space="preserve">مستند واحد لا دفاتر</w:t>
      </w:r>
    </w:p>
    <w:p>
      <w:pPr>
        <w:pStyle w:val="BodyText"/>
      </w:pPr>
      <w:r>
        <w:t xml:space="preserve">تنتهي دفاتر الموقع المتفرقة وكشوف المواد المكتوبة يدوياً.</w:t>
      </w:r>
    </w:p>
    <w:p>
      <w:pPr>
        <w:pStyle w:val="BodyText"/>
      </w:pPr>
      <w:r>
        <w:t xml:space="preserve">رصيد لحظي بكل موقع</w:t>
      </w:r>
    </w:p>
    <w:p>
      <w:pPr>
        <w:pStyle w:val="BodyText"/>
      </w:pPr>
      <w:r>
        <w:t xml:space="preserve">الإدارة ترى الرصيد الحقيقي دون انتظار تقرير آخر الشهر.</w:t>
      </w:r>
    </w:p>
    <w:p>
      <w:pPr>
        <w:pStyle w:val="Heading3"/>
      </w:pPr>
      <w:bookmarkStart w:id="152" w:name="التحويل-بين-المواقع"/>
      <w:r>
        <w:t xml:space="preserve">التحويل بين المواقع</w:t>
      </w:r>
      <w:bookmarkEnd w:id="152"/>
    </w:p>
    <w:p>
      <w:pPr>
        <w:pStyle w:val="FirstParagraph"/>
      </w:pPr>
      <w:r>
        <w:t xml:space="preserve">مستند نقل يرصّد التكلفة على المشروعين</w:t>
      </w:r>
    </w:p>
    <w:p>
      <w:pPr>
        <w:pStyle w:val="BodyText"/>
      </w:pPr>
      <w:r>
        <w:t xml:space="preserve">نقل الحديد أو السقالات أو المواد الفائضة من مشروع إلى آخر يتم بمستند نقل واحد يخصم القيمة من المشروع المُرسِل ويحمّلها على المشروع المستقبِل.</w:t>
      </w:r>
    </w:p>
    <w:p>
      <w:pPr>
        <w:pStyle w:val="Heading3"/>
      </w:pPr>
      <w:bookmarkStart w:id="153" w:name="إرجاع-الفائض-ومعالجة-الهدر"/>
      <w:r>
        <w:t xml:space="preserve">إرجاع الفائض ومعالجة الهدر</w:t>
      </w:r>
      <w:bookmarkEnd w:id="153"/>
    </w:p>
    <w:p>
      <w:pPr>
        <w:pStyle w:val="FirstParagraph"/>
      </w:pPr>
      <w:r>
        <w:t xml:space="preserve">لا تُترك مادة خارج القيد</w:t>
      </w:r>
    </w:p>
    <w:p>
      <w:pPr>
        <w:pStyle w:val="BodyText"/>
      </w:pPr>
      <w:r>
        <w:t xml:space="preserve">المواد التي تُصرف ولا تُستهلك تعود إلى المخزن بمستند إرجاع يخفّض تكلفة المشروع بقيمتها، أما التالف فيُثبَّت كهدر بقرار موثّق.</w:t>
      </w:r>
    </w:p>
    <w:p>
      <w:pPr>
        <w:numPr>
          <w:ilvl w:val="0"/>
          <w:numId w:val="1057"/>
        </w:numPr>
        <w:pStyle w:val="Compact"/>
      </w:pPr>
      <w:r>
        <w:t xml:space="preserve">مستند إرجاع من الموقع إلى المخزن يقلل تكلفة المشروع</w:t>
      </w:r>
    </w:p>
    <w:p>
      <w:pPr>
        <w:numPr>
          <w:ilvl w:val="0"/>
          <w:numId w:val="1057"/>
        </w:numPr>
        <w:pStyle w:val="Compact"/>
      </w:pPr>
      <w:r>
        <w:t xml:space="preserve">تحويل الفائض مباشرة إلى موقع مشروع آخر يحتاجه</w:t>
      </w:r>
    </w:p>
    <w:p>
      <w:pPr>
        <w:numPr>
          <w:ilvl w:val="0"/>
          <w:numId w:val="1057"/>
        </w:numPr>
        <w:pStyle w:val="Compact"/>
      </w:pPr>
      <w:r>
        <w:t xml:space="preserve">إثبات التالف والهدر بسبب محدد ومسؤول محدد</w:t>
      </w:r>
    </w:p>
    <w:p>
      <w:pPr>
        <w:numPr>
          <w:ilvl w:val="0"/>
          <w:numId w:val="1057"/>
        </w:numPr>
        <w:pStyle w:val="Compact"/>
      </w:pPr>
      <w:r>
        <w:t xml:space="preserve">تقرير الهدر لكل مشروع ونسبته من إجمالي المصروف</w:t>
      </w:r>
    </w:p>
    <w:p>
      <w:pPr>
        <w:numPr>
          <w:ilvl w:val="0"/>
          <w:numId w:val="1057"/>
        </w:numPr>
        <w:pStyle w:val="Compact"/>
      </w:pPr>
      <w:r>
        <w:t xml:space="preserve">حجز المواد الحرجة لمشروع بعينه قبل صرفها لغيره</w:t>
      </w:r>
    </w:p>
    <w:p>
      <w:pPr>
        <w:numPr>
          <w:ilvl w:val="0"/>
          <w:numId w:val="1057"/>
        </w:numPr>
        <w:pStyle w:val="Compact"/>
      </w:pPr>
      <w:r>
        <w:t xml:space="preserve">ربط المرتجع بأمر الصرف الأصلي لإغلاق الدورة</w:t>
      </w:r>
    </w:p>
    <w:p>
      <w:pPr>
        <w:pStyle w:val="Heading3"/>
      </w:pPr>
      <w:bookmarkStart w:id="154" w:name="قواعد-الرقابة-المطبقة-على-كل-حركة-مخزنية"/>
      <w:r>
        <w:t xml:space="preserve">قواعد الرقابة المطبّقة على كل حركة مخزنية</w:t>
      </w:r>
      <w:bookmarkEnd w:id="154"/>
    </w:p>
    <w:p>
      <w:pPr>
        <w:pStyle w:val="FirstParagraph"/>
      </w:pPr>
      <w:r>
        <w:t xml:space="preserve">ضوابط مبنية داخل النظام لا تعتمد على التزام الأفراد بها يدوياً</w:t>
      </w:r>
    </w:p>
    <w:p>
      <w:pPr>
        <w:pStyle w:val="BodyText"/>
      </w:pPr>
      <w:r>
        <w:t xml:space="preserve">لا صرف بلا اعتماد</w:t>
      </w:r>
    </w:p>
    <w:p>
      <w:pPr>
        <w:pStyle w:val="BodyText"/>
      </w:pPr>
      <w:r>
        <w:t xml:space="preserve">أمر صرف موقّع قبل الخروج</w:t>
      </w:r>
    </w:p>
    <w:p>
      <w:pPr>
        <w:pStyle w:val="BodyText"/>
      </w:pPr>
      <w:r>
        <w:t xml:space="preserve">لا استلام بلا فحص</w:t>
      </w:r>
    </w:p>
    <w:p>
      <w:pPr>
        <w:pStyle w:val="BodyText"/>
      </w:pPr>
      <w:r>
        <w:t xml:space="preserve">مطابقة الكمية والمواصفة</w:t>
      </w:r>
    </w:p>
    <w:p>
      <w:pPr>
        <w:pStyle w:val="BodyText"/>
      </w:pPr>
      <w:r>
        <w:t xml:space="preserve">لا حركة بلا مشروع</w:t>
      </w:r>
    </w:p>
    <w:p>
      <w:pPr>
        <w:pStyle w:val="BodyText"/>
      </w:pPr>
      <w:r>
        <w:t xml:space="preserve">مركز التكلفة حقل إلزامي</w:t>
      </w:r>
    </w:p>
    <w:p>
      <w:pPr>
        <w:pStyle w:val="BodyText"/>
      </w:pPr>
      <w:r>
        <w:t xml:space="preserve">لا تحويل بلا طرفين</w:t>
      </w:r>
    </w:p>
    <w:p>
      <w:pPr>
        <w:pStyle w:val="BodyText"/>
      </w:pPr>
      <w:r>
        <w:t xml:space="preserve">اعتماد الموقعين معاً</w:t>
      </w:r>
    </w:p>
    <w:p>
      <w:pPr>
        <w:pStyle w:val="BodyText"/>
      </w:pPr>
      <w:r>
        <w:t xml:space="preserve">لا تسوية بلا قيد</w:t>
      </w:r>
    </w:p>
    <w:p>
      <w:pPr>
        <w:pStyle w:val="BodyText"/>
      </w:pPr>
      <w:r>
        <w:t xml:space="preserve">فرق الجرد يُرحَّل محاسبياً</w:t>
      </w:r>
    </w:p>
    <w:p>
      <w:pPr>
        <w:pStyle w:val="BodyText"/>
      </w:pPr>
      <w:r>
        <w:t xml:space="preserve">لا وصول بلا صلاحية</w:t>
      </w:r>
    </w:p>
    <w:p>
      <w:pPr>
        <w:pStyle w:val="BodyText"/>
      </w:pPr>
      <w:r>
        <w:t xml:space="preserve">كل أمين مخزن على موقعه</w:t>
      </w:r>
    </w:p>
    <w:p>
      <w:pPr>
        <w:pStyle w:val="BodyText"/>
      </w:pPr>
      <w:r>
        <w:t xml:space="preserve">ملاحظة على الدورة</w:t>
      </w:r>
    </w:p>
    <w:p>
      <w:pPr>
        <w:pStyle w:val="BodyText"/>
      </w:pPr>
      <w:r>
        <w:t xml:space="preserve">حدود الاعتماد قابلة للضبط بحسب قيمة أمر الصرف: الصرف اليومي البسيط يعتمده مهندس الموقع، والصرف عالي القيمة يصعد آلياً إلى الإدارة قبل تنفيذه.</w:t>
      </w:r>
    </w:p>
    <w:p>
      <w:pPr>
        <w:pStyle w:val="BodyText"/>
      </w:pPr>
      <w:r>
        <w:t xml:space="preserve">المخازن — الصفحة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الموقع المُرسِل</w:t>
            </w:r>
          </w:p>
        </w:tc>
        <w:tc>
          <w:tcPr>
            <w:tcBorders>
              <w:bottom w:val="single"/>
            </w:tcBorders>
            <w:vAlign w:val="bottom"/>
          </w:tcPr>
          <w:p>
            <w:pPr>
              <w:pStyle w:val="Compact"/>
              <w:jc w:val="left"/>
            </w:pPr>
            <w:r>
              <w:t xml:space="preserve">مخزن المشروع الحالي</w:t>
            </w:r>
          </w:p>
        </w:tc>
      </w:tr>
      <w:tr>
        <w:tc>
          <w:p>
            <w:pPr>
              <w:pStyle w:val="Compact"/>
              <w:jc w:val="left"/>
            </w:pPr>
            <w:r>
              <w:t xml:space="preserve">الموقع المستقبِل</w:t>
            </w:r>
          </w:p>
        </w:tc>
        <w:tc>
          <w:p>
            <w:pPr>
              <w:pStyle w:val="Compact"/>
              <w:jc w:val="left"/>
            </w:pPr>
            <w:r>
              <w:t xml:space="preserve">مخزن المشروع الجديد</w:t>
            </w:r>
          </w:p>
        </w:tc>
      </w:tr>
      <w:tr>
        <w:tc>
          <w:p>
            <w:pPr>
              <w:pStyle w:val="Compact"/>
              <w:jc w:val="left"/>
            </w:pPr>
            <w:r>
              <w:t xml:space="preserve">الصنف والكمية</w:t>
            </w:r>
          </w:p>
        </w:tc>
        <w:tc>
          <w:p>
            <w:pPr>
              <w:pStyle w:val="Compact"/>
              <w:jc w:val="left"/>
            </w:pPr>
            <w:r>
              <w:t xml:space="preserve">حديد، سقالات، مواد فائضة</w:t>
            </w:r>
          </w:p>
        </w:tc>
      </w:tr>
      <w:tr>
        <w:tc>
          <w:p>
            <w:pPr>
              <w:pStyle w:val="Compact"/>
              <w:jc w:val="left"/>
            </w:pPr>
            <w:r>
              <w:t xml:space="preserve">قيمة التحويل</w:t>
            </w:r>
          </w:p>
        </w:tc>
        <w:tc>
          <w:p>
            <w:pPr>
              <w:pStyle w:val="Compact"/>
              <w:jc w:val="left"/>
            </w:pPr>
            <w:r>
              <w:t xml:space="preserve">بمتوسط التكلفة، بعملة KWD</w:t>
            </w:r>
          </w:p>
        </w:tc>
      </w:tr>
      <w:tr>
        <w:tc>
          <w:p>
            <w:pPr>
              <w:pStyle w:val="Compact"/>
              <w:jc w:val="left"/>
            </w:pPr>
            <w:r>
              <w:t xml:space="preserve">الاعتماد</w:t>
            </w:r>
          </w:p>
        </w:tc>
        <w:tc>
          <w:p>
            <w:pPr>
              <w:pStyle w:val="Compact"/>
              <w:jc w:val="left"/>
            </w:pPr>
            <w:r>
              <w:t xml:space="preserve">مدير المشروعين قبل التنفيذ</w:t>
            </w:r>
          </w:p>
        </w:tc>
      </w:tr>
      <w:tr>
        <w:tc>
          <w:p>
            <w:pPr>
              <w:pStyle w:val="Compact"/>
              <w:jc w:val="left"/>
            </w:pPr>
            <w:r>
              <w:t xml:space="preserve">الأثر المحاسبي</w:t>
            </w:r>
          </w:p>
        </w:tc>
        <w:tc>
          <w:p>
            <w:pPr>
              <w:pStyle w:val="Compact"/>
              <w:jc w:val="left"/>
            </w:pPr>
            <w:r>
              <w:t xml:space="preserve">ترصيد على المُرسِل وتحميل على المستقبِل</w:t>
            </w:r>
          </w:p>
        </w:tc>
      </w:tr>
      <w:tr>
        <w:tc>
          <w:p>
            <w:pPr>
              <w:pStyle w:val="Compact"/>
              <w:jc w:val="left"/>
            </w:pPr>
            <w:r>
              <w:t xml:space="preserve">أثر التتبع</w:t>
            </w:r>
          </w:p>
        </w:tc>
        <w:tc>
          <w:p>
            <w:pPr>
              <w:pStyle w:val="Compact"/>
              <w:jc w:val="left"/>
            </w:pPr>
            <w:r>
              <w:t xml:space="preserve">سجل يبيّن أين كانت المادة ومتى انتقلت</w:t>
            </w:r>
          </w:p>
        </w:tc>
      </w:tr>
    </w:tbl>
    <w:p>
      <w:pPr>
        <w:pStyle w:val="BodyText"/>
      </w:pPr>
      <w:r>
        <w:t xml:space="preserve">وحدة المخازن والمستودعات</w:t>
      </w:r>
    </w:p>
    <w:p>
      <w:pPr>
        <w:pStyle w:val="Heading3"/>
      </w:pPr>
      <w:bookmarkStart w:id="155" w:name="الوظائف-والإمكانات-3"/>
      <w:r>
        <w:t xml:space="preserve">الوظائف والإمكانات</w:t>
      </w:r>
      <w:bookmarkEnd w:id="155"/>
    </w:p>
    <w:p>
      <w:pPr>
        <w:pStyle w:val="FirstParagraph"/>
      </w:pPr>
      <w:r>
        <w:t xml:space="preserve">الإمكانات التي يعمل عليها أمين المخزن ومهندس الموقع ومدير المشروع يومياً — من بطاقة الصنف وحدود إعادة الطلب، إلى أوامر الصرف وسجل المعدات والجرد وتسوية الفروقات.</w:t>
      </w:r>
    </w:p>
    <w:p>
      <w:pPr>
        <w:pStyle w:val="Heading3"/>
      </w:pPr>
      <w:bookmarkStart w:id="156" w:name="بطاقة-الصنف-وحدود-إعادة-الطلب"/>
      <w:r>
        <w:t xml:space="preserve">بطاقة الصنف وحدود إعادة الطلب</w:t>
      </w:r>
      <w:bookmarkEnd w:id="156"/>
    </w:p>
    <w:p>
      <w:pPr>
        <w:pStyle w:val="FirstParagraph"/>
      </w:pPr>
      <w:r>
        <w:t xml:space="preserve">وحدة قياس ورصيد أدنى لكل صنف</w:t>
      </w:r>
    </w:p>
    <w:p>
      <w:pPr>
        <w:pStyle w:val="BodyText"/>
      </w:pPr>
      <w:r>
        <w:t xml:space="preserve">لكل صنف بطاقة تحمل وحدة القياس المعتمدة، والرصيد الأدنى لكل موقع، وحد إعادة الطلب الذي يُنشئ طلب شراء تلقائياً قبل النفاد.</w:t>
      </w:r>
    </w:p>
    <w:p>
      <w:pPr>
        <w:numPr>
          <w:ilvl w:val="0"/>
          <w:numId w:val="1058"/>
        </w:numPr>
        <w:pStyle w:val="Compact"/>
      </w:pPr>
      <w:r>
        <w:t xml:space="preserve">وحدة قياس أساسية ووحدة شراء بمعامل تحويل</w:t>
      </w:r>
    </w:p>
    <w:p>
      <w:pPr>
        <w:numPr>
          <w:ilvl w:val="0"/>
          <w:numId w:val="1058"/>
        </w:numPr>
        <w:pStyle w:val="Compact"/>
      </w:pPr>
      <w:r>
        <w:t xml:space="preserve">رصيد أدنى مختلف لكل موقع بحسب حجم المشروع</w:t>
      </w:r>
    </w:p>
    <w:p>
      <w:pPr>
        <w:numPr>
          <w:ilvl w:val="0"/>
          <w:numId w:val="1058"/>
        </w:numPr>
        <w:pStyle w:val="Compact"/>
      </w:pPr>
      <w:r>
        <w:t xml:space="preserve">تنبيه آلي عند بلوغ حد إعادة الطلب</w:t>
      </w:r>
    </w:p>
    <w:p>
      <w:pPr>
        <w:numPr>
          <w:ilvl w:val="0"/>
          <w:numId w:val="1058"/>
        </w:numPr>
        <w:pStyle w:val="Compact"/>
      </w:pPr>
      <w:r>
        <w:t xml:space="preserve">مورد مفضّل وسعر آخر شراء لكل صنف</w:t>
      </w:r>
    </w:p>
    <w:p>
      <w:pPr>
        <w:numPr>
          <w:ilvl w:val="0"/>
          <w:numId w:val="1058"/>
        </w:numPr>
        <w:pStyle w:val="Compact"/>
      </w:pPr>
      <w:r>
        <w:t xml:space="preserve">ترقيم وباركود للأصناف عالية الحركة</w:t>
      </w:r>
    </w:p>
    <w:p>
      <w:pPr>
        <w:pStyle w:val="Heading3"/>
      </w:pPr>
      <w:bookmarkStart w:id="157" w:name="أوامر-الصرف-واعتمادها"/>
      <w:r>
        <w:t xml:space="preserve">أوامر الصرف واعتمادها</w:t>
      </w:r>
      <w:bookmarkEnd w:id="157"/>
    </w:p>
    <w:p>
      <w:pPr>
        <w:pStyle w:val="FirstParagraph"/>
      </w:pPr>
      <w:r>
        <w:t xml:space="preserve">لا صرف بغير اعتماد ومركز تكلفة</w:t>
      </w:r>
    </w:p>
    <w:p>
      <w:pPr>
        <w:pStyle w:val="BodyText"/>
      </w:pPr>
      <w:r>
        <w:t xml:space="preserve">أمر الصرف هو المستند الوحيد الذي تخرج به المادة من المخزن، ولا يُعتمد إلا بتحديد المشروع وبند العمل المستفيد ومسؤول الاستلام.</w:t>
      </w:r>
    </w:p>
    <w:p>
      <w:pPr>
        <w:numPr>
          <w:ilvl w:val="0"/>
          <w:numId w:val="1059"/>
        </w:numPr>
        <w:pStyle w:val="Compact"/>
      </w:pPr>
      <w:r>
        <w:t xml:space="preserve">ربط إلزامي بالمشروع وبند العمل قبل الاعتماد</w:t>
      </w:r>
    </w:p>
    <w:p>
      <w:pPr>
        <w:numPr>
          <w:ilvl w:val="0"/>
          <w:numId w:val="1059"/>
        </w:numPr>
        <w:pStyle w:val="Compact"/>
      </w:pPr>
      <w:r>
        <w:t xml:space="preserve">مسار اعتماد متدرج بحسب قيمة الأمر</w:t>
      </w:r>
    </w:p>
    <w:p>
      <w:pPr>
        <w:numPr>
          <w:ilvl w:val="0"/>
          <w:numId w:val="1059"/>
        </w:numPr>
        <w:pStyle w:val="Compact"/>
      </w:pPr>
      <w:r>
        <w:t xml:space="preserve">الصرف الجزئي على دفعات مع تتبع المتبقي</w:t>
      </w:r>
    </w:p>
    <w:p>
      <w:pPr>
        <w:numPr>
          <w:ilvl w:val="0"/>
          <w:numId w:val="1059"/>
        </w:numPr>
        <w:pStyle w:val="Compact"/>
      </w:pPr>
      <w:r>
        <w:t xml:space="preserve">عهدة المواد على المقاول أو الطاقم المنفّذ</w:t>
      </w:r>
    </w:p>
    <w:p>
      <w:pPr>
        <w:numPr>
          <w:ilvl w:val="0"/>
          <w:numId w:val="1059"/>
        </w:numPr>
        <w:pStyle w:val="Compact"/>
      </w:pPr>
      <w:r>
        <w:t xml:space="preserve">طباعة الأمر بصيغة PDF بتوقيع المستلم</w:t>
      </w:r>
    </w:p>
    <w:p>
      <w:pPr>
        <w:pStyle w:val="Heading3"/>
      </w:pPr>
      <w:bookmarkStart w:id="158" w:name="سجل-المعدات-والآليات"/>
      <w:r>
        <w:t xml:space="preserve">سجل المعدات والآليات</w:t>
      </w:r>
      <w:bookmarkEnd w:id="158"/>
    </w:p>
    <w:p>
      <w:pPr>
        <w:pStyle w:val="FirstParagraph"/>
      </w:pPr>
      <w:r>
        <w:t xml:space="preserve">تخصيص ونقل وساعات تشغيل وصيانة</w:t>
      </w:r>
    </w:p>
    <w:p>
      <w:pPr>
        <w:pStyle w:val="BodyText"/>
      </w:pPr>
      <w:r>
        <w:t xml:space="preserve">تُدار المعدات كأصول متنقلة بين المشاريع: تعرف الإدارة في أي لحظة أين توجد كل معدة، ومنذ متى، وكم ساعة عملت، ومتى صيانتها القادمة.</w:t>
      </w:r>
    </w:p>
    <w:p>
      <w:pPr>
        <w:numPr>
          <w:ilvl w:val="0"/>
          <w:numId w:val="1060"/>
        </w:numPr>
        <w:pStyle w:val="Compact"/>
      </w:pPr>
      <w:r>
        <w:t xml:space="preserve">بطاقة لكل معدة: رقم، نوع، موديل، سنة التشغيل</w:t>
      </w:r>
    </w:p>
    <w:p>
      <w:pPr>
        <w:numPr>
          <w:ilvl w:val="0"/>
          <w:numId w:val="1060"/>
        </w:numPr>
        <w:pStyle w:val="Compact"/>
      </w:pPr>
      <w:r>
        <w:t xml:space="preserve">الموقع المخصص حالياً وسجل تواريخ النقل</w:t>
      </w:r>
    </w:p>
    <w:p>
      <w:pPr>
        <w:numPr>
          <w:ilvl w:val="0"/>
          <w:numId w:val="1060"/>
        </w:numPr>
        <w:pStyle w:val="Compact"/>
      </w:pPr>
      <w:r>
        <w:t xml:space="preserve">ساعات التشغيل وتحميل كلفتها على المشروع</w:t>
      </w:r>
    </w:p>
    <w:p>
      <w:pPr>
        <w:numPr>
          <w:ilvl w:val="0"/>
          <w:numId w:val="1060"/>
        </w:numPr>
        <w:pStyle w:val="Compact"/>
      </w:pPr>
      <w:r>
        <w:t xml:space="preserve">خطة صيانة دورية بتنبيه قبل الاستحقاق</w:t>
      </w:r>
    </w:p>
    <w:p>
      <w:pPr>
        <w:numPr>
          <w:ilvl w:val="0"/>
          <w:numId w:val="1060"/>
        </w:numPr>
        <w:pStyle w:val="Compact"/>
      </w:pPr>
      <w:r>
        <w:t xml:space="preserve">سجل الأعطال وقطع الغيار المستهلكة لكل معدة</w:t>
      </w:r>
    </w:p>
    <w:p>
      <w:pPr>
        <w:pStyle w:val="Heading3"/>
      </w:pPr>
      <w:bookmarkStart w:id="159" w:name="الجرد-وتسوية-الفروقات"/>
      <w:r>
        <w:t xml:space="preserve">الجرد وتسوية الفروقات</w:t>
      </w:r>
      <w:bookmarkEnd w:id="159"/>
    </w:p>
    <w:p>
      <w:pPr>
        <w:pStyle w:val="FirstParagraph"/>
      </w:pPr>
      <w:r>
        <w:t xml:space="preserve">دوري ومفاجئ بتقييم متوسط التكلفة</w:t>
      </w:r>
    </w:p>
    <w:p>
      <w:pPr>
        <w:pStyle w:val="BodyText"/>
      </w:pPr>
      <w:r>
        <w:t xml:space="preserve">يُنفَّذ الجرد على مستوى الموقع بورقة جرد مطبوعة أو من الهاتف، ثم تُعتمد الفروقات وتُرحَّل بقيد محاسبي يحمل اسم المشروع.</w:t>
      </w:r>
    </w:p>
    <w:p>
      <w:pPr>
        <w:numPr>
          <w:ilvl w:val="0"/>
          <w:numId w:val="1061"/>
        </w:numPr>
        <w:pStyle w:val="Compact"/>
      </w:pPr>
      <w:r>
        <w:t xml:space="preserve">جرد دوري مجدول لكل موقع وجرد مفاجئ بقرار الإدارة</w:t>
      </w:r>
    </w:p>
    <w:p>
      <w:pPr>
        <w:numPr>
          <w:ilvl w:val="0"/>
          <w:numId w:val="1061"/>
        </w:numPr>
        <w:pStyle w:val="Compact"/>
      </w:pPr>
      <w:r>
        <w:t xml:space="preserve">مقارنة الرصيد الدفتري بالرصيد الفعلي صنفاً بصنف</w:t>
      </w:r>
    </w:p>
    <w:p>
      <w:pPr>
        <w:numPr>
          <w:ilvl w:val="0"/>
          <w:numId w:val="1061"/>
        </w:numPr>
        <w:pStyle w:val="Compact"/>
      </w:pPr>
      <w:r>
        <w:t xml:space="preserve">اعتماد الفروقات وترحيلها بقيد مرتبط بالمشروع</w:t>
      </w:r>
    </w:p>
    <w:p>
      <w:pPr>
        <w:numPr>
          <w:ilvl w:val="0"/>
          <w:numId w:val="1061"/>
        </w:numPr>
        <w:pStyle w:val="Compact"/>
      </w:pPr>
      <w:r>
        <w:t xml:space="preserve">تقييم المخزون بمتوسط التكلفة المرجّح</w:t>
      </w:r>
    </w:p>
    <w:p>
      <w:pPr>
        <w:numPr>
          <w:ilvl w:val="0"/>
          <w:numId w:val="1061"/>
        </w:numPr>
        <w:pStyle w:val="Compact"/>
      </w:pPr>
      <w:r>
        <w:t xml:space="preserve">سجل تدقيق كامل لكل تسوية ومن اعتمدها</w:t>
      </w:r>
    </w:p>
    <w:p>
      <w:pPr>
        <w:pStyle w:val="Heading3"/>
      </w:pPr>
      <w:bookmarkStart w:id="160" w:name="Xd465f2d04c869885d0071ffb71b2b65f68014c6"/>
      <w:r>
        <w:t xml:space="preserve">شجرة تصنيف المواد والأصول في مخازن لؤلؤة الشايع</w:t>
      </w:r>
      <w:bookmarkEnd w:id="160"/>
    </w:p>
    <w:p>
      <w:pPr>
        <w:pStyle w:val="FirstParagraph"/>
      </w:pPr>
      <w:r>
        <w:t xml:space="preserve">تصنيف واحد يخدم الشراء والصرف والتقارير وتحليل التكلفة لكل مشروع</w:t>
      </w:r>
    </w:p>
    <w:p>
      <w:pPr>
        <w:pStyle w:val="BodyText"/>
      </w:pPr>
      <w:r>
        <w:t xml:space="preserve">مواد أساسية</w:t>
      </w:r>
    </w:p>
    <w:p>
      <w:pPr>
        <w:pStyle w:val="BodyText"/>
      </w:pPr>
      <w:r>
        <w:t xml:space="preserve">حديد، أسمنت، بلوك، رمل</w:t>
      </w:r>
    </w:p>
    <w:p>
      <w:pPr>
        <w:pStyle w:val="BodyText"/>
      </w:pPr>
      <w:r>
        <w:t xml:space="preserve">مواد تشطيبات</w:t>
      </w:r>
    </w:p>
    <w:p>
      <w:pPr>
        <w:pStyle w:val="BodyText"/>
      </w:pPr>
      <w:r>
        <w:t xml:space="preserve">دهانات، سيراميك، جبس</w:t>
      </w:r>
    </w:p>
    <w:p>
      <w:pPr>
        <w:pStyle w:val="BodyText"/>
      </w:pPr>
      <w:r>
        <w:t xml:space="preserve">مواد كهربائية</w:t>
      </w:r>
    </w:p>
    <w:p>
      <w:pPr>
        <w:pStyle w:val="BodyText"/>
      </w:pPr>
      <w:r>
        <w:t xml:space="preserve">كابلات، لوحات، تمديدات</w:t>
      </w:r>
    </w:p>
    <w:p>
      <w:pPr>
        <w:pStyle w:val="BodyText"/>
      </w:pPr>
      <w:r>
        <w:t xml:space="preserve">مستهلكات الموقع</w:t>
      </w:r>
    </w:p>
    <w:p>
      <w:pPr>
        <w:pStyle w:val="BodyText"/>
      </w:pPr>
      <w:r>
        <w:t xml:space="preserve">أدوات ومهمات السلامة</w:t>
      </w:r>
    </w:p>
    <w:p>
      <w:pPr>
        <w:pStyle w:val="BodyText"/>
      </w:pPr>
      <w:r>
        <w:t xml:space="preserve">قطع الغيار</w:t>
      </w:r>
    </w:p>
    <w:p>
      <w:pPr>
        <w:pStyle w:val="BodyText"/>
      </w:pPr>
      <w:r>
        <w:t xml:space="preserve">لصيانة المعدات والآليات</w:t>
      </w:r>
    </w:p>
    <w:p>
      <w:pPr>
        <w:pStyle w:val="BodyText"/>
      </w:pPr>
      <w:r>
        <w:t xml:space="preserve">معدات وسقالات</w:t>
      </w:r>
    </w:p>
    <w:p>
      <w:pPr>
        <w:pStyle w:val="BodyText"/>
      </w:pPr>
      <w:r>
        <w:t xml:space="preserve">أصول متنقلة بين المشاريع</w:t>
      </w:r>
    </w:p>
    <w:p>
      <w:pPr>
        <w:pStyle w:val="BodyText"/>
      </w:pPr>
      <w:r>
        <w:t xml:space="preserve">أمين مخزن الموقع</w:t>
      </w:r>
    </w:p>
    <w:p>
      <w:pPr>
        <w:pStyle w:val="BodyText"/>
      </w:pPr>
      <w:r>
        <w:t xml:space="preserve">يستلم ويصرف ويجرد في موقعه فقط، ولا يرى أرصدة المواقع الأخرى.</w:t>
      </w:r>
    </w:p>
    <w:p>
      <w:pPr>
        <w:pStyle w:val="BodyText"/>
      </w:pPr>
      <w:r>
        <w:t xml:space="preserve">مهندس الموقع</w:t>
      </w:r>
    </w:p>
    <w:p>
      <w:pPr>
        <w:pStyle w:val="BodyText"/>
      </w:pPr>
      <w:r>
        <w:t xml:space="preserve">يطلب المواد ويعتمد الصرف اليومي ضمن حد قيمي محدد له.</w:t>
      </w:r>
    </w:p>
    <w:p>
      <w:pPr>
        <w:pStyle w:val="BodyText"/>
      </w:pPr>
      <w:r>
        <w:t xml:space="preserve">مدير المشروع</w:t>
      </w:r>
    </w:p>
    <w:p>
      <w:pPr>
        <w:pStyle w:val="BodyText"/>
      </w:pPr>
      <w:r>
        <w:t xml:space="preserve">يعتمد الصرف عالي القيمة والتحويل بين المواقع وتسويات الجرد.</w:t>
      </w:r>
    </w:p>
    <w:p>
      <w:pPr>
        <w:pStyle w:val="BodyText"/>
      </w:pPr>
      <w:r>
        <w:t xml:space="preserve">الإدارة العليا</w:t>
      </w:r>
    </w:p>
    <w:p>
      <w:pPr>
        <w:pStyle w:val="BodyText"/>
      </w:pPr>
      <w:r>
        <w:t xml:space="preserve">ترى الأرصدة والتكاليف والمعدات في كل المواقع في شاشة واحدة.</w:t>
      </w:r>
    </w:p>
    <w:p>
      <w:pPr>
        <w:pStyle w:val="BodyText"/>
      </w:pPr>
      <w:r>
        <w:t xml:space="preserve">التشغيل من الموقع</w:t>
      </w:r>
    </w:p>
    <w:p>
      <w:pPr>
        <w:pStyle w:val="BodyText"/>
      </w:pPr>
      <w:r>
        <w:t xml:space="preserve">يستطيع أمين مخزن الموقع تسجيل الاستلام والصرف والجرد من الهاتف مباشرة، فتصل الحركة إلى النظام لحظياً دون انتظار الأوراق حتى نهاية اليوم.</w:t>
      </w:r>
    </w:p>
    <w:p>
      <w:pPr>
        <w:pStyle w:val="BodyText"/>
      </w:pPr>
      <w:r>
        <w:t xml:space="preserve">المخازن — الصفحة</w:t>
      </w:r>
    </w:p>
    <w:p>
      <w:pPr>
        <w:pStyle w:val="BodyText"/>
      </w:pPr>
      <w:r>
        <w:t xml:space="preserve">وحدة المخازن والمستودعات</w:t>
      </w:r>
    </w:p>
    <w:p>
      <w:pPr>
        <w:pStyle w:val="Heading3"/>
      </w:pPr>
      <w:bookmarkStart w:id="161" w:name="التقارير-والتحليلات-3"/>
      <w:r>
        <w:t xml:space="preserve">التقارير والتحليلات</w:t>
      </w:r>
      <w:bookmarkEnd w:id="161"/>
    </w:p>
    <w:p>
      <w:pPr>
        <w:pStyle w:val="FirstParagraph"/>
      </w:pPr>
      <w:r>
        <w:t xml:space="preserve">تقارير موجّهة لإدارة شركة مقاولات: قيمة المخزون في كل موقع، وما استُهلك فعلاً مقابل المخطط، ونسبة الهدر، والمواد الراكدة، ودوران المخزون، وتوزيع المعدات على المشاريع ونسبة تشغيلها.</w:t>
      </w:r>
    </w:p>
    <w:p>
      <w:pPr>
        <w:pStyle w:val="Heading3"/>
      </w:pPr>
      <w:bookmarkStart w:id="162" w:name="قيمة-المخزون-لكل-موقع"/>
      <w:r>
        <w:t xml:space="preserve">قيمة المخزون لكل موقع</w:t>
      </w:r>
      <w:bookmarkEnd w:id="162"/>
    </w:p>
    <w:p>
      <w:pPr>
        <w:pStyle w:val="FirstParagraph"/>
      </w:pPr>
      <w:r>
        <w:t xml:space="preserve">بالكمية والقيمة وبعملة KWD</w:t>
      </w:r>
    </w:p>
    <w:p>
      <w:pPr>
        <w:pStyle w:val="BodyText"/>
      </w:pPr>
      <w:r>
        <w:t xml:space="preserve">تقرير يعرض قيمة المخزون في المخزن الرئيسي وفي كل مخزن موقع على حدة، مع الإجمالي الموحّد على مستوى الشركة في الشاشة نفسها.</w:t>
      </w:r>
    </w:p>
    <w:p>
      <w:pPr>
        <w:numPr>
          <w:ilvl w:val="0"/>
          <w:numId w:val="1062"/>
        </w:numPr>
        <w:pStyle w:val="Compact"/>
      </w:pPr>
      <w:r>
        <w:t xml:space="preserve">قيمة المخزون لكل موقع وللشركة مجتمعة</w:t>
      </w:r>
    </w:p>
    <w:p>
      <w:pPr>
        <w:numPr>
          <w:ilvl w:val="0"/>
          <w:numId w:val="1062"/>
        </w:numPr>
        <w:pStyle w:val="Compact"/>
      </w:pPr>
      <w:r>
        <w:t xml:space="preserve">توزيع القيمة على مجموعات المواد</w:t>
      </w:r>
    </w:p>
    <w:p>
      <w:pPr>
        <w:numPr>
          <w:ilvl w:val="0"/>
          <w:numId w:val="1062"/>
        </w:numPr>
        <w:pStyle w:val="Compact"/>
      </w:pPr>
      <w:r>
        <w:t xml:space="preserve">مقارنة القيمة بين فترتين لرصد التضخم في الأرصدة</w:t>
      </w:r>
    </w:p>
    <w:p>
      <w:pPr>
        <w:numPr>
          <w:ilvl w:val="0"/>
          <w:numId w:val="1062"/>
        </w:numPr>
        <w:pStyle w:val="Compact"/>
      </w:pPr>
      <w:r>
        <w:t xml:space="preserve">أعلى عشرة أصناف من حيث القيمة المحتجزة</w:t>
      </w:r>
    </w:p>
    <w:p>
      <w:pPr>
        <w:pStyle w:val="Heading3"/>
      </w:pPr>
      <w:bookmarkStart w:id="163" w:name="الاستهلاك-مقابل-المخطط-والهدر"/>
      <w:r>
        <w:t xml:space="preserve">الاستهلاك مقابل المخطط والهدر</w:t>
      </w:r>
      <w:bookmarkEnd w:id="163"/>
    </w:p>
    <w:p>
      <w:pPr>
        <w:pStyle w:val="FirstParagraph"/>
      </w:pPr>
      <w:r>
        <w:t xml:space="preserve">انحراف الكميات لكل مشروع</w:t>
      </w:r>
    </w:p>
    <w:p>
      <w:pPr>
        <w:pStyle w:val="BodyText"/>
      </w:pPr>
      <w:r>
        <w:t xml:space="preserve">مقارنة ما صُرف فعلاً بما هو مخطط في جدول كميات المشروع، لكشف التجاوز مبكراً قبل أن يلتهم هامش ربح المشروع.</w:t>
      </w:r>
    </w:p>
    <w:p>
      <w:pPr>
        <w:numPr>
          <w:ilvl w:val="0"/>
          <w:numId w:val="1063"/>
        </w:numPr>
        <w:pStyle w:val="Compact"/>
      </w:pPr>
      <w:r>
        <w:t xml:space="preserve">الكمية المخططة مقابل المنصرفة لكل بند</w:t>
      </w:r>
    </w:p>
    <w:p>
      <w:pPr>
        <w:numPr>
          <w:ilvl w:val="0"/>
          <w:numId w:val="1063"/>
        </w:numPr>
        <w:pStyle w:val="Compact"/>
      </w:pPr>
      <w:r>
        <w:t xml:space="preserve">نسبة الانحراف بالكمية وبالقيمة</w:t>
      </w:r>
    </w:p>
    <w:p>
      <w:pPr>
        <w:numPr>
          <w:ilvl w:val="0"/>
          <w:numId w:val="1063"/>
        </w:numPr>
        <w:pStyle w:val="Compact"/>
      </w:pPr>
      <w:r>
        <w:t xml:space="preserve">الهدر ونسبته من إجمالي المصروف لكل مشروع</w:t>
      </w:r>
    </w:p>
    <w:p>
      <w:pPr>
        <w:numPr>
          <w:ilvl w:val="0"/>
          <w:numId w:val="1063"/>
        </w:numPr>
        <w:pStyle w:val="Compact"/>
      </w:pPr>
      <w:r>
        <w:t xml:space="preserve">ترتيب المشاريع بحسب أعلى نسبة هدر</w:t>
      </w:r>
    </w:p>
    <w:p>
      <w:pPr>
        <w:pStyle w:val="Heading3"/>
      </w:pPr>
      <w:bookmarkStart w:id="164" w:name="المواد-الراكدة-ودوران-المخزون"/>
      <w:r>
        <w:t xml:space="preserve">المواد الراكدة ودوران المخزون</w:t>
      </w:r>
      <w:bookmarkEnd w:id="164"/>
    </w:p>
    <w:p>
      <w:pPr>
        <w:pStyle w:val="FirstParagraph"/>
      </w:pPr>
      <w:r>
        <w:t xml:space="preserve">تحرير الأموال المجمّدة في المواقع</w:t>
      </w:r>
    </w:p>
    <w:p>
      <w:pPr>
        <w:pStyle w:val="BodyText"/>
      </w:pPr>
      <w:r>
        <w:t xml:space="preserve">تقرير يحدد المواد التي لم تتحرك منذ فترة في كل موقع، ومعدل دوران المخزون، ليتخذ القرار: تحويل لموقع آخر أم إعادة بيع أم إيقاف الشراء.</w:t>
      </w:r>
    </w:p>
    <w:p>
      <w:pPr>
        <w:numPr>
          <w:ilvl w:val="0"/>
          <w:numId w:val="1064"/>
        </w:numPr>
        <w:pStyle w:val="Compact"/>
      </w:pPr>
      <w:r>
        <w:t xml:space="preserve">أعمار المخزون: أقل من 30 يوماً حتى أكثر من 180 يوماً</w:t>
      </w:r>
    </w:p>
    <w:p>
      <w:pPr>
        <w:numPr>
          <w:ilvl w:val="0"/>
          <w:numId w:val="1064"/>
        </w:numPr>
        <w:pStyle w:val="Compact"/>
      </w:pPr>
      <w:r>
        <w:t xml:space="preserve">معدل دوران المخزون لكل مجموعة مواد</w:t>
      </w:r>
    </w:p>
    <w:p>
      <w:pPr>
        <w:numPr>
          <w:ilvl w:val="0"/>
          <w:numId w:val="1064"/>
        </w:numPr>
        <w:pStyle w:val="Compact"/>
      </w:pPr>
      <w:r>
        <w:t xml:space="preserve">قيمة المواد الراكدة المرشحة للتحويل بين المواقع</w:t>
      </w:r>
    </w:p>
    <w:p>
      <w:pPr>
        <w:numPr>
          <w:ilvl w:val="0"/>
          <w:numId w:val="1064"/>
        </w:numPr>
        <w:pStyle w:val="Compact"/>
      </w:pPr>
      <w:r>
        <w:t xml:space="preserve">أصناف تحت الرصيد الأدنى ومهددة بإيقاف العمل</w:t>
      </w:r>
    </w:p>
    <w:p>
      <w:pPr>
        <w:pStyle w:val="Heading3"/>
      </w:pPr>
      <w:bookmarkStart w:id="165" w:name="توزيع-المعدات-ونسبة-تشغيلها"/>
      <w:r>
        <w:t xml:space="preserve">توزيع المعدات ونسبة تشغيلها</w:t>
      </w:r>
      <w:bookmarkEnd w:id="165"/>
    </w:p>
    <w:p>
      <w:pPr>
        <w:pStyle w:val="FirstParagraph"/>
      </w:pPr>
      <w:r>
        <w:t xml:space="preserve">أين تعمل الآليات وكم تُستغل</w:t>
      </w:r>
    </w:p>
    <w:p>
      <w:pPr>
        <w:pStyle w:val="BodyText"/>
      </w:pPr>
      <w:r>
        <w:t xml:space="preserve">لوحة تُظهر توزيع المعدات على المشاريع ونسبة تشغيل كل معدة، فتظهر المعدة المتوقفة في موقع بينما موقع آخر يستأجر مثيلتها من الخارج.</w:t>
      </w:r>
    </w:p>
    <w:p>
      <w:pPr>
        <w:numPr>
          <w:ilvl w:val="0"/>
          <w:numId w:val="1065"/>
        </w:numPr>
        <w:pStyle w:val="Compact"/>
      </w:pPr>
      <w:r>
        <w:t xml:space="preserve">عدد المعدات المخصصة لكل مشروع اليوم</w:t>
      </w:r>
    </w:p>
    <w:p>
      <w:pPr>
        <w:numPr>
          <w:ilvl w:val="0"/>
          <w:numId w:val="1065"/>
        </w:numPr>
        <w:pStyle w:val="Compact"/>
      </w:pPr>
      <w:r>
        <w:t xml:space="preserve">نسبة تشغيل كل معدة من ساعات العمل المتاحة</w:t>
      </w:r>
    </w:p>
    <w:p>
      <w:pPr>
        <w:numPr>
          <w:ilvl w:val="0"/>
          <w:numId w:val="1065"/>
        </w:numPr>
        <w:pStyle w:val="Compact"/>
      </w:pPr>
      <w:r>
        <w:t xml:space="preserve">تكلفة تشغيل وصيانة المعدة محمّلة على المشروع</w:t>
      </w:r>
    </w:p>
    <w:p>
      <w:pPr>
        <w:numPr>
          <w:ilvl w:val="0"/>
          <w:numId w:val="1065"/>
        </w:numPr>
        <w:pStyle w:val="Compact"/>
      </w:pPr>
      <w:r>
        <w:t xml:space="preserve">معدات متوقفة أو تحت الصيانة ومدة التوقف</w:t>
      </w:r>
    </w:p>
    <w:p>
      <w:pPr>
        <w:pStyle w:val="Heading3"/>
      </w:pPr>
      <w:bookmarkStart w:id="166" w:name="X80d56c1189e7ef206476cf8f7e6de26e8503f3a"/>
      <w:r>
        <w:t xml:space="preserve">مؤشرات الأداء الرئيسية — لوحة مخازن لؤلؤة الشايع</w:t>
      </w:r>
      <w:bookmarkEnd w:id="166"/>
    </w:p>
    <w:p>
      <w:pPr>
        <w:pStyle w:val="FirstParagraph"/>
      </w:pPr>
      <w:r>
        <w:t xml:space="preserve">مؤشرات حيّة تظهر للإدارة عند الدخول، مع إمكانية التصفية بموقع واحد أو بكل المواقع</w:t>
      </w:r>
    </w:p>
    <w:p>
      <w:pPr>
        <w:pStyle w:val="BodyText"/>
      </w:pPr>
      <w:r>
        <w:t xml:space="preserve">KWD</w:t>
      </w:r>
    </w:p>
    <w:p>
      <w:pPr>
        <w:pStyle w:val="BodyText"/>
      </w:pPr>
      <w:r>
        <w:t xml:space="preserve">قيمة المخزون لكل موقع</w:t>
      </w:r>
    </w:p>
    <w:p>
      <w:pPr>
        <w:pStyle w:val="BodyText"/>
      </w:pPr>
      <w:r>
        <w:t xml:space="preserve">وإجمالي الشركة الموحّد</w:t>
      </w:r>
    </w:p>
    <w:p>
      <w:pPr>
        <w:pStyle w:val="BodyText"/>
      </w:pPr>
      <w:r>
        <w:t xml:space="preserve">الاستهلاك مقابل المخطط</w:t>
      </w:r>
    </w:p>
    <w:p>
      <w:pPr>
        <w:pStyle w:val="BodyText"/>
      </w:pPr>
      <w:r>
        <w:t xml:space="preserve">انحراف الكميات لكل مشروع</w:t>
      </w:r>
    </w:p>
    <w:p>
      <w:pPr>
        <w:pStyle w:val="BodyText"/>
      </w:pPr>
      <w:r>
        <w:t xml:space="preserve">نسبة الهدر</w:t>
      </w:r>
    </w:p>
    <w:p>
      <w:pPr>
        <w:pStyle w:val="BodyText"/>
      </w:pPr>
      <w:r>
        <w:t xml:space="preserve">من إجمالي المواد المنصرفة</w:t>
      </w:r>
    </w:p>
    <w:p>
      <w:pPr>
        <w:pStyle w:val="BodyText"/>
      </w:pPr>
      <w:r>
        <w:t xml:space="preserve">مرة</w:t>
      </w:r>
    </w:p>
    <w:p>
      <w:pPr>
        <w:pStyle w:val="BodyText"/>
      </w:pPr>
      <w:r>
        <w:t xml:space="preserve">معدل دوران المخزون</w:t>
      </w:r>
    </w:p>
    <w:p>
      <w:pPr>
        <w:pStyle w:val="BodyText"/>
      </w:pPr>
      <w:r>
        <w:t xml:space="preserve">وقيمة المواد الراكدة مقابله</w:t>
      </w:r>
    </w:p>
    <w:p>
      <w:pPr>
        <w:pStyle w:val="BodyText"/>
      </w:pPr>
      <w:r>
        <w:t xml:space="preserve">نسبة تشغيل المعدات</w:t>
      </w:r>
    </w:p>
    <w:p>
      <w:pPr>
        <w:pStyle w:val="BodyText"/>
      </w:pPr>
      <w:r>
        <w:t xml:space="preserve">وتوزيعها على المشاريع</w:t>
      </w:r>
    </w:p>
    <w:p>
      <w:pPr>
        <w:pStyle w:val="BodyText"/>
      </w:pPr>
      <w:r>
        <w:t xml:space="preserve">أرصدة المواقع</w:t>
      </w:r>
    </w:p>
    <w:p>
      <w:pPr>
        <w:pStyle w:val="BodyText"/>
      </w:pPr>
      <w:r>
        <w:t xml:space="preserve">رصيد كل صنف في كل موقع بالكمية والقيمة في تاريخ محدد.</w:t>
      </w:r>
    </w:p>
    <w:p>
      <w:pPr>
        <w:pStyle w:val="BodyText"/>
      </w:pPr>
      <w:r>
        <w:t xml:space="preserve">حركة الصنف</w:t>
      </w:r>
    </w:p>
    <w:p>
      <w:pPr>
        <w:pStyle w:val="BodyText"/>
      </w:pPr>
      <w:r>
        <w:t xml:space="preserve">كشف تفصيلي لكل دخول وخروج وتحويل للصنف مع المستند والمشروع.</w:t>
      </w:r>
    </w:p>
    <w:p>
      <w:pPr>
        <w:pStyle w:val="BodyText"/>
      </w:pPr>
      <w:r>
        <w:t xml:space="preserve">أعمار المخزون</w:t>
      </w:r>
    </w:p>
    <w:p>
      <w:pPr>
        <w:pStyle w:val="BodyText"/>
      </w:pPr>
      <w:r>
        <w:t xml:space="preserve">توزيع الأرصدة على فئات عمرية لكشف المواد الراكدة في كل موقع.</w:t>
      </w:r>
    </w:p>
    <w:p>
      <w:pPr>
        <w:pStyle w:val="BodyText"/>
      </w:pPr>
      <w:r>
        <w:t xml:space="preserve">سجل المعدات</w:t>
      </w:r>
    </w:p>
    <w:p>
      <w:pPr>
        <w:pStyle w:val="BodyText"/>
      </w:pPr>
      <w:r>
        <w:t xml:space="preserve">موقع كل معدة وساعات تشغيلها وتكلفتها وصيانتها القادمة.</w:t>
      </w:r>
    </w:p>
    <w:p>
      <w:pPr>
        <w:pStyle w:val="BodyText"/>
      </w:pPr>
      <w:r>
        <w:t xml:space="preserve">ملاحظة على التقارير</w:t>
      </w:r>
    </w:p>
    <w:p>
      <w:pPr>
        <w:pStyle w:val="BodyText"/>
      </w:pPr>
      <w:r>
        <w:t xml:space="preserve">كل تقرير قابل للتصفية بموقع واحد أو بكل المواقع، وللتصدير إلى Excel و PDF . الصلاحيات متدرجة: أمين المخزن يرى موقعه، والإدارة ترى الصورة الموحّدة لكل المشاريع.</w:t>
      </w:r>
    </w:p>
    <w:p>
      <w:pPr>
        <w:pStyle w:val="BodyText"/>
      </w:pPr>
      <w:r>
        <w:t xml:space="preserve">المخازن — الصفحة</w:t>
      </w:r>
    </w:p>
    <w:p>
      <w:pPr>
        <w:pStyle w:val="BodyText"/>
      </w:pPr>
      <w:r>
        <w:t xml:space="preserve">وحدة المخازن والمستودعات</w:t>
      </w:r>
    </w:p>
    <w:p>
      <w:pPr>
        <w:pStyle w:val="Heading3"/>
      </w:pPr>
      <w:bookmarkStart w:id="167" w:name="القيمة-المضافة-والتكامل-3"/>
      <w:r>
        <w:t xml:space="preserve">القيمة المضافة والتكامل</w:t>
      </w:r>
      <w:bookmarkEnd w:id="167"/>
    </w:p>
    <w:p>
      <w:pPr>
        <w:pStyle w:val="FirstParagraph"/>
      </w:pPr>
      <w:r>
        <w:t xml:space="preserve">المخازن هي الحلقة التي تربط المشتريات بالمشروع: تستقبل ما اشترته الإدارة، وتصرفه على المشروع الصحيح، وتغذّي المحاسبة بتكلفة المواد المنصرفة، فتظهر النتيجة في تقارير ربحية كل مشروع.</w:t>
      </w:r>
    </w:p>
    <w:p>
      <w:pPr>
        <w:pStyle w:val="Heading3"/>
      </w:pPr>
      <w:bookmarkStart w:id="168" w:name="التكامل-مع-المشتريات"/>
      <w:r>
        <w:t xml:space="preserve">التكامل مع المشتريات</w:t>
      </w:r>
      <w:bookmarkEnd w:id="168"/>
    </w:p>
    <w:p>
      <w:pPr>
        <w:pStyle w:val="FirstParagraph"/>
      </w:pPr>
      <w:r>
        <w:t xml:space="preserve">من الطلب إلى الاستلام بمستند واحد</w:t>
      </w:r>
    </w:p>
    <w:p>
      <w:pPr>
        <w:pStyle w:val="BodyText"/>
      </w:pPr>
      <w:r>
        <w:t xml:space="preserve">طلب الموقع يتحول إلى أمر شراء، وأمر الشراء يفتح إذن استلام في مخزن الموقع نفسه، ثم تُطابَق فاتورة المورد بالكمية المستلمة فعلاً.</w:t>
      </w:r>
    </w:p>
    <w:p>
      <w:pPr>
        <w:numPr>
          <w:ilvl w:val="0"/>
          <w:numId w:val="1066"/>
        </w:numPr>
        <w:pStyle w:val="Compact"/>
      </w:pPr>
      <w:r>
        <w:t xml:space="preserve">طلب الموقع يولّد أمر شراء دون إعادة إدخال</w:t>
      </w:r>
    </w:p>
    <w:p>
      <w:pPr>
        <w:numPr>
          <w:ilvl w:val="0"/>
          <w:numId w:val="1066"/>
        </w:numPr>
        <w:pStyle w:val="Compact"/>
      </w:pPr>
      <w:r>
        <w:t xml:space="preserve">الاستلام يتم في مخزن الموقع لا في مخزن مركزي</w:t>
      </w:r>
    </w:p>
    <w:p>
      <w:pPr>
        <w:numPr>
          <w:ilvl w:val="0"/>
          <w:numId w:val="1066"/>
        </w:numPr>
        <w:pStyle w:val="Compact"/>
      </w:pPr>
      <w:r>
        <w:t xml:space="preserve">مطابقة ثلاثية: أمر الشراء، الاستلام، فاتورة المورد</w:t>
      </w:r>
    </w:p>
    <w:p>
      <w:pPr>
        <w:numPr>
          <w:ilvl w:val="0"/>
          <w:numId w:val="1066"/>
        </w:numPr>
        <w:pStyle w:val="Compact"/>
      </w:pPr>
      <w:r>
        <w:t xml:space="preserve">حجز الفروق والنواقص على المورد حتى تسويتها</w:t>
      </w:r>
    </w:p>
    <w:p>
      <w:pPr>
        <w:pStyle w:val="Heading3"/>
      </w:pPr>
      <w:bookmarkStart w:id="169" w:name="التكامل-مع-المشاريع-ومراكز-التكلفة"/>
      <w:r>
        <w:t xml:space="preserve">التكامل مع المشاريع ومراكز التكلفة</w:t>
      </w:r>
      <w:bookmarkEnd w:id="169"/>
    </w:p>
    <w:p>
      <w:pPr>
        <w:pStyle w:val="FirstParagraph"/>
      </w:pPr>
      <w:r>
        <w:t xml:space="preserve">كل موقع مركز تكلفة مستقل</w:t>
      </w:r>
    </w:p>
    <w:p>
      <w:pPr>
        <w:pStyle w:val="BodyText"/>
      </w:pPr>
      <w:r>
        <w:t xml:space="preserve">كل مخزن موقع مرتبط بمركز تكلفة مشروعه، فتذهب قيمة كل صرف تلقائياً إلى المشروع الصحيح دون توزيع تقديري في نهاية الشهر.</w:t>
      </w:r>
    </w:p>
    <w:p>
      <w:pPr>
        <w:numPr>
          <w:ilvl w:val="0"/>
          <w:numId w:val="1067"/>
        </w:numPr>
        <w:pStyle w:val="Compact"/>
      </w:pPr>
      <w:r>
        <w:t xml:space="preserve">ربط المخزن بمركز تكلفة المشروع عند الإنشاء</w:t>
      </w:r>
    </w:p>
    <w:p>
      <w:pPr>
        <w:numPr>
          <w:ilvl w:val="0"/>
          <w:numId w:val="1067"/>
        </w:numPr>
        <w:pStyle w:val="Compact"/>
      </w:pPr>
      <w:r>
        <w:t xml:space="preserve">تكلفة المواد ضمن تكلفة المشروع لحظة الصرف</w:t>
      </w:r>
    </w:p>
    <w:p>
      <w:pPr>
        <w:numPr>
          <w:ilvl w:val="0"/>
          <w:numId w:val="1067"/>
        </w:numPr>
        <w:pStyle w:val="Compact"/>
      </w:pPr>
      <w:r>
        <w:t xml:space="preserve">التحويل بين المواقع يرصّد ويحمّل المشروعين معاً</w:t>
      </w:r>
    </w:p>
    <w:p>
      <w:pPr>
        <w:numPr>
          <w:ilvl w:val="0"/>
          <w:numId w:val="1067"/>
        </w:numPr>
        <w:pStyle w:val="Compact"/>
      </w:pPr>
      <w:r>
        <w:t xml:space="preserve">ساعات تشغيل المعدات تُحمَّل على مشروع تشغيلها</w:t>
      </w:r>
    </w:p>
    <w:p>
      <w:pPr>
        <w:pStyle w:val="Heading3"/>
      </w:pPr>
      <w:bookmarkStart w:id="170" w:name="التكامل-مع-المحاسبة"/>
      <w:r>
        <w:t xml:space="preserve">التكامل مع المحاسبة</w:t>
      </w:r>
      <w:bookmarkEnd w:id="170"/>
    </w:p>
    <w:p>
      <w:pPr>
        <w:pStyle w:val="FirstParagraph"/>
      </w:pPr>
      <w:r>
        <w:t xml:space="preserve">قيود آلية لكل حركة مخزنية</w:t>
      </w:r>
    </w:p>
    <w:p>
      <w:pPr>
        <w:pStyle w:val="BodyText"/>
      </w:pPr>
      <w:r>
        <w:t xml:space="preserve">كل استلام وصرف وتحويل وتسوية جرد يولّد قيده المحاسبي تلقائياً بقيمة متوسط التكلفة، فلا يوجد فارق بين رصيد المخزن ورصيد الدفاتر.</w:t>
      </w:r>
    </w:p>
    <w:p>
      <w:pPr>
        <w:numPr>
          <w:ilvl w:val="0"/>
          <w:numId w:val="1068"/>
        </w:numPr>
        <w:pStyle w:val="Compact"/>
      </w:pPr>
      <w:r>
        <w:t xml:space="preserve">قيد آلي عند الاستلام وعند الصرف وعند التسوية</w:t>
      </w:r>
    </w:p>
    <w:p>
      <w:pPr>
        <w:numPr>
          <w:ilvl w:val="0"/>
          <w:numId w:val="1068"/>
        </w:numPr>
        <w:pStyle w:val="Compact"/>
      </w:pPr>
      <w:r>
        <w:t xml:space="preserve">تقييم بمتوسط التكلفة المرجّح على مستوى الصنف</w:t>
      </w:r>
    </w:p>
    <w:p>
      <w:pPr>
        <w:numPr>
          <w:ilvl w:val="0"/>
          <w:numId w:val="1068"/>
        </w:numPr>
        <w:pStyle w:val="Compact"/>
      </w:pPr>
      <w:r>
        <w:t xml:space="preserve">تكلفة المواد المنصرفة تظهر في ربحية كل مشروع</w:t>
      </w:r>
    </w:p>
    <w:p>
      <w:pPr>
        <w:numPr>
          <w:ilvl w:val="0"/>
          <w:numId w:val="1068"/>
        </w:numPr>
        <w:pStyle w:val="Compact"/>
      </w:pPr>
      <w:r>
        <w:t xml:space="preserve">مطابقة رصيد حساب المخزون بالجرد الفعلي</w:t>
      </w:r>
    </w:p>
    <w:p>
      <w:pPr>
        <w:pStyle w:val="Heading3"/>
      </w:pPr>
      <w:bookmarkStart w:id="171" w:name="التهيئة-الخاصة-بالشركة"/>
      <w:r>
        <w:t xml:space="preserve">التهيئة الخاصة بالشركة</w:t>
      </w:r>
      <w:bookmarkEnd w:id="171"/>
    </w:p>
    <w:p>
      <w:pPr>
        <w:pStyle w:val="FirstParagraph"/>
      </w:pPr>
      <w:r>
        <w:t xml:space="preserve">إعداد على مقاس مشاريع لؤلؤة الشايع</w:t>
      </w:r>
    </w:p>
    <w:p>
      <w:pPr>
        <w:pStyle w:val="BodyText"/>
      </w:pPr>
      <w:r>
        <w:t xml:space="preserve">تقوم شركة ديكسور للحلول المتكاملة الحاسوبية ذ.م.م. بتهيئة الوحدة على واقع الشركة: أسماء المشاريع، شجرة الأصناف، مسارات الاعتماد، وصلاحيات 15 مستخدماً.</w:t>
      </w:r>
    </w:p>
    <w:p>
      <w:pPr>
        <w:numPr>
          <w:ilvl w:val="0"/>
          <w:numId w:val="1069"/>
        </w:numPr>
        <w:pStyle w:val="Compact"/>
      </w:pPr>
      <w:r>
        <w:t xml:space="preserve">إنشاء مخازن المواقع بأسماء المشاريع القائمة</w:t>
      </w:r>
    </w:p>
    <w:p>
      <w:pPr>
        <w:numPr>
          <w:ilvl w:val="0"/>
          <w:numId w:val="1069"/>
        </w:numPr>
        <w:pStyle w:val="Compact"/>
      </w:pPr>
      <w:r>
        <w:t xml:space="preserve">مسارات اعتماد الصرف بحسب هيكل الشركة</w:t>
      </w:r>
    </w:p>
    <w:p>
      <w:pPr>
        <w:numPr>
          <w:ilvl w:val="0"/>
          <w:numId w:val="1069"/>
        </w:numPr>
        <w:pStyle w:val="Compact"/>
      </w:pPr>
      <w:r>
        <w:t xml:space="preserve">مستندات الاستلام والصرف والتحويل باللغة العربية</w:t>
      </w:r>
    </w:p>
    <w:p>
      <w:pPr>
        <w:numPr>
          <w:ilvl w:val="0"/>
          <w:numId w:val="1069"/>
        </w:numPr>
        <w:pStyle w:val="Compact"/>
      </w:pPr>
      <w:r>
        <w:t xml:space="preserve">استضافة سحابية على Odoo.sh ودعم 12 شهراً</w:t>
      </w:r>
    </w:p>
    <w:p>
      <w:pPr>
        <w:pStyle w:val="Heading3"/>
      </w:pPr>
      <w:bookmarkStart w:id="172" w:name="X59b978100749d9f776727e5d28f1f4681487773"/>
      <w:r>
        <w:t xml:space="preserve">المخازن حلقة الوصل — من أمر الشراء إلى ربحية المشروع</w:t>
      </w:r>
      <w:bookmarkEnd w:id="172"/>
    </w:p>
    <w:p>
      <w:pPr>
        <w:pStyle w:val="FirstParagraph"/>
      </w:pPr>
      <w:r>
        <w:t xml:space="preserve">حركة واحدة في المخزن تنتقل تلقائياً إلى المشروع والمحاسبة ولوحات الإدارة</w:t>
      </w:r>
    </w:p>
    <w:p>
      <w:pPr>
        <w:pStyle w:val="BodyText"/>
      </w:pPr>
      <w:r>
        <w:t xml:space="preserve">المشتريات</w:t>
      </w:r>
    </w:p>
    <w:p>
      <w:pPr>
        <w:pStyle w:val="BodyText"/>
      </w:pPr>
      <w:r>
        <w:t xml:space="preserve">أمر شراء معتمد لمواد الموقع</w:t>
      </w:r>
    </w:p>
    <w:p>
      <w:pPr>
        <w:pStyle w:val="BodyText"/>
      </w:pPr>
      <w:r>
        <w:t xml:space="preserve">مخزن الموقع</w:t>
      </w:r>
    </w:p>
    <w:p>
      <w:pPr>
        <w:pStyle w:val="BodyText"/>
      </w:pPr>
      <w:r>
        <w:t xml:space="preserve">استلام وفحص وإدخال الرصيد</w:t>
      </w:r>
    </w:p>
    <w:p>
      <w:pPr>
        <w:pStyle w:val="BodyText"/>
      </w:pPr>
      <w:r>
        <w:t xml:space="preserve">صرف للمشروع</w:t>
      </w:r>
    </w:p>
    <w:p>
      <w:pPr>
        <w:pStyle w:val="BodyText"/>
      </w:pPr>
      <w:r>
        <w:t xml:space="preserve">أمر صرف معتمد بتوقيع المستلم</w:t>
      </w:r>
    </w:p>
    <w:p>
      <w:pPr>
        <w:pStyle w:val="BodyText"/>
      </w:pPr>
      <w:r>
        <w:t xml:space="preserve">قيد التكلفة</w:t>
      </w:r>
    </w:p>
    <w:p>
      <w:pPr>
        <w:pStyle w:val="BodyText"/>
      </w:pPr>
      <w:r>
        <w:t xml:space="preserve">على مركز تكلفة المشروع</w:t>
      </w:r>
    </w:p>
    <w:p>
      <w:pPr>
        <w:pStyle w:val="BodyText"/>
      </w:pPr>
      <w:r>
        <w:t xml:space="preserve">ربحية المشروع</w:t>
      </w:r>
    </w:p>
    <w:p>
      <w:pPr>
        <w:pStyle w:val="BodyText"/>
      </w:pPr>
      <w:r>
        <w:t xml:space="preserve">ولوحات المعلومات الإدارية</w:t>
      </w:r>
    </w:p>
    <w:p>
      <w:pPr>
        <w:pStyle w:val="BodyText"/>
      </w:pPr>
      <w:r>
        <w:t xml:space="preserve">تكلفة صحيحة لكل مشروع</w:t>
      </w:r>
    </w:p>
    <w:p>
      <w:pPr>
        <w:pStyle w:val="BodyText"/>
      </w:pPr>
      <w:r>
        <w:t xml:space="preserve">لا توزيع تقديري للمواد في نهاية الشهر — التحميل لحظة الصرف.</w:t>
      </w:r>
    </w:p>
    <w:p>
      <w:pPr>
        <w:pStyle w:val="BodyText"/>
      </w:pPr>
      <w:r>
        <w:t xml:space="preserve">أموال أقل مجمّدة</w:t>
      </w:r>
    </w:p>
    <w:p>
      <w:pPr>
        <w:pStyle w:val="BodyText"/>
      </w:pPr>
      <w:r>
        <w:t xml:space="preserve">تحويل الراكد بين المواقع بدل شراء جديد لمشروع آخر.</w:t>
      </w:r>
    </w:p>
    <w:p>
      <w:pPr>
        <w:pStyle w:val="BodyText"/>
      </w:pPr>
      <w:r>
        <w:t xml:space="preserve">توقف أقل في المواقع</w:t>
      </w:r>
    </w:p>
    <w:p>
      <w:pPr>
        <w:pStyle w:val="BodyText"/>
      </w:pPr>
      <w:r>
        <w:t xml:space="preserve">حدود إعادة الطلب تمنع نفاد المواد الأساسية أثناء التنفيذ.</w:t>
      </w:r>
    </w:p>
    <w:p>
      <w:pPr>
        <w:pStyle w:val="BodyText"/>
      </w:pPr>
      <w:r>
        <w:t xml:space="preserve">رؤية موحدة للإدارة</w:t>
      </w:r>
    </w:p>
    <w:p>
      <w:pPr>
        <w:pStyle w:val="BodyText"/>
      </w:pPr>
      <w:r>
        <w:t xml:space="preserve">كل المواقع والمعدات والأرصدة في لوحة واحدة لحظة اتخاذ القرار.</w:t>
      </w:r>
    </w:p>
    <w:p>
      <w:pPr>
        <w:pStyle w:val="BodyText"/>
      </w:pPr>
      <w:r>
        <w:t xml:space="preserve">DEXOR — Systems with Souls</w:t>
      </w:r>
    </w:p>
    <w:p>
      <w:pPr>
        <w:pStyle w:val="BodyText"/>
      </w:pPr>
      <w:r>
        <w:t xml:space="preserve">هذا العرض مُعدّ خصيصاً لشركة لؤلؤة الشايع للمقاولات العامة والإنشاءات — دولة الكويت. تُضبط المخازن ومسارات الصرف وتقارير المواد والمعدات على واقع مشاريع الشركة خلال فترة التنفيذ البالغة 8 إلى 10 أسابيع.</w:t>
      </w:r>
    </w:p>
    <w:p>
      <w:pPr>
        <w:pStyle w:val="BodyText"/>
      </w:pPr>
      <w:r>
        <w:t xml:space="preserve">المخازن — الصفحة</w:t>
      </w:r>
    </w:p>
    <w:p>
      <w:pPr>
        <w:pStyle w:val="Heading2"/>
      </w:pPr>
      <w:bookmarkStart w:id="173" w:name="X73c4c7fe912a722f8089c5591b72e44f81ecb73"/>
      <w:r>
        <w:t xml:space="preserve">وحدة المحاسبة والشؤون المالية (Accounting &amp; Finance)</w:t>
      </w:r>
      <w:bookmarkEnd w:id="173"/>
    </w:p>
    <w:p>
      <w:pPr>
        <w:pStyle w:val="FirstParagraph"/>
      </w:pPr>
      <w:r>
        <w:t xml:space="preserve">وحدة المحاسبة والشؤون المالية</w:t>
      </w:r>
    </w:p>
    <w:p>
      <w:pPr>
        <w:pStyle w:val="Heading3"/>
      </w:pPr>
      <w:bookmarkStart w:id="174" w:name="المحاسبة-والشؤون-المالية"/>
      <w:r>
        <w:t xml:space="preserve">المحاسبة والشؤون المالية</w:t>
      </w:r>
      <w:bookmarkEnd w:id="174"/>
    </w:p>
    <w:p>
      <w:pPr>
        <w:pStyle w:val="FirstParagraph"/>
      </w:pPr>
      <w:r>
        <w:t xml:space="preserve">وحدة المحاسبة والشؤون المالية (Accounting &amp; Finance) هي قلب النظام المقترح لشركة لؤلؤة الشايع: كل مشروع مركز تكلفة مستقل بدفاتره وحساباته ودفتر شيكاته، ومع ذلك تبقى الصورة المالية للشركة كاملة ومجمَّعة أمام الإدارة في أي لحظة.</w:t>
      </w:r>
    </w:p>
    <w:p>
      <w:pPr>
        <w:pStyle w:val="BodyText"/>
      </w:pPr>
      <w:r>
        <w:t xml:space="preserve">15 مستخدماً مرخصاً</w:t>
      </w:r>
    </w:p>
    <w:p>
      <w:pPr>
        <w:pStyle w:val="BodyText"/>
      </w:pPr>
      <w:r>
        <w:t xml:space="preserve">8 إلى 10 أسابيع للتنفيذ</w:t>
      </w:r>
    </w:p>
    <w:p>
      <w:pPr>
        <w:pStyle w:val="BodyText"/>
      </w:pPr>
      <w:r>
        <w:t xml:space="preserve">استضافة سحابية على Odoo.sh</w:t>
      </w:r>
    </w:p>
    <w:p>
      <w:pPr>
        <w:pStyle w:val="BodyText"/>
      </w:pPr>
      <w:r>
        <w:t xml:space="preserve">العملة المعتمدة KWD</w:t>
      </w:r>
    </w:p>
    <w:p>
      <w:pPr>
        <w:pStyle w:val="Heading3"/>
      </w:pPr>
      <w:bookmarkStart w:id="175" w:name="نظرة-عامة-على-الوحدة-2"/>
      <w:r>
        <w:t xml:space="preserve">نظرة عامة على الوحدة</w:t>
      </w:r>
      <w:bookmarkEnd w:id="175"/>
    </w:p>
    <w:p>
      <w:pPr>
        <w:pStyle w:val="FirstParagraph"/>
      </w:pPr>
      <w:r>
        <w:t xml:space="preserve">دفاتر لكل مشروع ورؤية مجمَّعة للشركة</w:t>
      </w:r>
    </w:p>
    <w:p>
      <w:pPr>
        <w:pStyle w:val="BodyText"/>
      </w:pPr>
      <w:r>
        <w:t xml:space="preserve">دورة محاسبية كاملة مبنية على واقع شركة مقاولات كويتية تدير مواقع متعددة في وقت واحد: قيود، مستخلصات، مصروفات، شيكات، بنوك، وأصول — كلها موسومة بالمشروع الذي تخصّه.</w:t>
      </w:r>
    </w:p>
    <w:p>
      <w:pPr>
        <w:numPr>
          <w:ilvl w:val="0"/>
          <w:numId w:val="1070"/>
        </w:numPr>
        <w:pStyle w:val="Compact"/>
      </w:pPr>
      <w:r>
        <w:t xml:space="preserve">شجرة حسابات مصمَّمة لقطاع المقاولات والإنشاءات</w:t>
      </w:r>
    </w:p>
    <w:p>
      <w:pPr>
        <w:numPr>
          <w:ilvl w:val="0"/>
          <w:numId w:val="1070"/>
        </w:numPr>
        <w:pStyle w:val="Compact"/>
      </w:pPr>
      <w:r>
        <w:t xml:space="preserve">ترحيل تلقائي من المبيعات والمشتريات والمخازن</w:t>
      </w:r>
    </w:p>
    <w:p>
      <w:pPr>
        <w:numPr>
          <w:ilvl w:val="0"/>
          <w:numId w:val="1070"/>
        </w:numPr>
        <w:pStyle w:val="Compact"/>
      </w:pPr>
      <w:r>
        <w:t xml:space="preserve">إقفال شهري وسنوي مع سجل تدقيق كامل للحركات</w:t>
      </w:r>
    </w:p>
    <w:p>
      <w:pPr>
        <w:numPr>
          <w:ilvl w:val="0"/>
          <w:numId w:val="1070"/>
        </w:numPr>
        <w:pStyle w:val="Compact"/>
      </w:pPr>
      <w:r>
        <w:t xml:space="preserve">تقارير مجمَّعة وأخرى تفصيلية لكل موقع على حدة</w:t>
      </w:r>
    </w:p>
    <w:p>
      <w:pPr>
        <w:pStyle w:val="Heading3"/>
      </w:pPr>
      <w:bookmarkStart w:id="176" w:name="كل-مشروع-مركز-تكلفة-مستقل"/>
      <w:r>
        <w:t xml:space="preserve">كل مشروع مركز تكلفة مستقل</w:t>
      </w:r>
      <w:bookmarkEnd w:id="176"/>
    </w:p>
    <w:p>
      <w:pPr>
        <w:pStyle w:val="FirstParagraph"/>
      </w:pPr>
      <w:r>
        <w:t xml:space="preserve">المحاسبة التحليلية (Analytic Accounting)</w:t>
      </w:r>
    </w:p>
    <w:p>
      <w:pPr>
        <w:pStyle w:val="BodyText"/>
      </w:pPr>
      <w:r>
        <w:t xml:space="preserve">لكل موقع أو مشروع دفاتره الخاصة: إيراداته، تكاليفه المباشرة، نصيبه من المصروفات غير المباشرة، وصافي ربحه الفعلي — دون أن يختلط بأي مشروع آخر.</w:t>
      </w:r>
    </w:p>
    <w:p>
      <w:pPr>
        <w:numPr>
          <w:ilvl w:val="0"/>
          <w:numId w:val="1071"/>
        </w:numPr>
        <w:pStyle w:val="Compact"/>
      </w:pPr>
      <w:r>
        <w:t xml:space="preserve">تكاليف مباشرة: مواد، عمالة، مقاولو الباطن، معدات</w:t>
      </w:r>
    </w:p>
    <w:p>
      <w:pPr>
        <w:numPr>
          <w:ilvl w:val="0"/>
          <w:numId w:val="1071"/>
        </w:numPr>
        <w:pStyle w:val="Compact"/>
      </w:pPr>
      <w:r>
        <w:t xml:space="preserve">توزيع المصروفات غير المباشرة بقواعد معتمدة مسبقاً</w:t>
      </w:r>
    </w:p>
    <w:p>
      <w:pPr>
        <w:numPr>
          <w:ilvl w:val="0"/>
          <w:numId w:val="1071"/>
        </w:numPr>
        <w:pStyle w:val="Compact"/>
      </w:pPr>
      <w:r>
        <w:t xml:space="preserve">قائمة دخل مستقلة لكل مشروع في أي تاريخ</w:t>
      </w:r>
    </w:p>
    <w:p>
      <w:pPr>
        <w:numPr>
          <w:ilvl w:val="0"/>
          <w:numId w:val="1071"/>
        </w:numPr>
        <w:pStyle w:val="Compact"/>
      </w:pPr>
      <w:r>
        <w:t xml:space="preserve">رؤية مجمَّعة لكل المشاريع على مستوى الشركة</w:t>
      </w:r>
    </w:p>
    <w:p>
      <w:pPr>
        <w:pStyle w:val="Heading3"/>
      </w:pPr>
      <w:bookmarkStart w:id="177" w:name="إدارة-الشيكات-دورة-كاملة"/>
      <w:r>
        <w:t xml:space="preserve">إدارة الشيكات — دورة كاملة</w:t>
      </w:r>
      <w:bookmarkEnd w:id="177"/>
    </w:p>
    <w:p>
      <w:pPr>
        <w:pStyle w:val="FirstParagraph"/>
      </w:pPr>
      <w:r>
        <w:t xml:space="preserve">من التسجيل حتى التحصيل أو الارتداد</w:t>
      </w:r>
    </w:p>
    <w:p>
      <w:pPr>
        <w:pStyle w:val="BodyText"/>
      </w:pPr>
      <w:r>
        <w:t xml:space="preserve">معظم التحصيلات تصل بشيكات، لذلك يُعامَل الشيك في النظام كمستند مالي كامل له بطاقته وحالته وسجله، لا كملاحظة على قيد.</w:t>
      </w:r>
    </w:p>
    <w:p>
      <w:pPr>
        <w:numPr>
          <w:ilvl w:val="0"/>
          <w:numId w:val="1072"/>
        </w:numPr>
        <w:pStyle w:val="Compact"/>
      </w:pPr>
      <w:r>
        <w:t xml:space="preserve">تسجيل الشيك برقمه والبنك المسحوب عليه وتاريخ استحقاقه</w:t>
      </w:r>
    </w:p>
    <w:p>
      <w:pPr>
        <w:numPr>
          <w:ilvl w:val="0"/>
          <w:numId w:val="1072"/>
        </w:numPr>
        <w:pStyle w:val="Compact"/>
      </w:pPr>
      <w:r>
        <w:t xml:space="preserve">ربط إلزامي بالعميل وبالمشروع وبالحساب المالي</w:t>
      </w:r>
    </w:p>
    <w:p>
      <w:pPr>
        <w:numPr>
          <w:ilvl w:val="0"/>
          <w:numId w:val="1072"/>
        </w:numPr>
        <w:pStyle w:val="Compact"/>
      </w:pPr>
      <w:r>
        <w:t xml:space="preserve">الحالات: تحت التحصيل، مودَع، محصَّل، مرتد، مستبدَل</w:t>
      </w:r>
    </w:p>
    <w:p>
      <w:pPr>
        <w:numPr>
          <w:ilvl w:val="0"/>
          <w:numId w:val="1072"/>
        </w:numPr>
        <w:pStyle w:val="Compact"/>
      </w:pPr>
      <w:r>
        <w:t xml:space="preserve">شيكات صادرة للموردين ومقاولي الباطن بالمنطق نفسه</w:t>
      </w:r>
    </w:p>
    <w:p>
      <w:pPr>
        <w:pStyle w:val="Heading3"/>
      </w:pPr>
      <w:bookmarkStart w:id="178" w:name="أربعة-حسابات-بنكية"/>
      <w:r>
        <w:t xml:space="preserve">أربعة حسابات بنكية</w:t>
      </w:r>
      <w:bookmarkEnd w:id="178"/>
    </w:p>
    <w:p>
      <w:pPr>
        <w:pStyle w:val="FirstParagraph"/>
      </w:pPr>
      <w:r>
        <w:t xml:space="preserve">رصيد ومطابقة مستقلة لكل بنك</w:t>
      </w:r>
    </w:p>
    <w:p>
      <w:pPr>
        <w:pStyle w:val="BodyText"/>
      </w:pPr>
      <w:r>
        <w:t xml:space="preserve">تُدار البنوك الأربعة كل واحد على حدة برصيده وكشوفه ومطابقته الدورية، مع صورة موحدة للسيولة تجمعها جميعاً في شاشة واحدة.</w:t>
      </w:r>
    </w:p>
    <w:p>
      <w:pPr>
        <w:numPr>
          <w:ilvl w:val="0"/>
          <w:numId w:val="1073"/>
        </w:numPr>
        <w:pStyle w:val="Compact"/>
      </w:pPr>
      <w:r>
        <w:t xml:space="preserve">دفتر نقدية مستقل لكل بنك من البنوك الأربعة</w:t>
      </w:r>
    </w:p>
    <w:p>
      <w:pPr>
        <w:numPr>
          <w:ilvl w:val="0"/>
          <w:numId w:val="1073"/>
        </w:numPr>
        <w:pStyle w:val="Compact"/>
      </w:pPr>
      <w:r>
        <w:t xml:space="preserve">مطابقة بنكية دورية مقابل كشف الحساب الفعلي</w:t>
      </w:r>
    </w:p>
    <w:p>
      <w:pPr>
        <w:numPr>
          <w:ilvl w:val="0"/>
          <w:numId w:val="1073"/>
        </w:numPr>
        <w:pStyle w:val="Compact"/>
      </w:pPr>
      <w:r>
        <w:t xml:space="preserve">ربط كل بنك بالمشاريع والشيكات التي تمر خلاله</w:t>
      </w:r>
    </w:p>
    <w:p>
      <w:pPr>
        <w:numPr>
          <w:ilvl w:val="0"/>
          <w:numId w:val="1073"/>
        </w:numPr>
        <w:pStyle w:val="Compact"/>
      </w:pPr>
      <w:r>
        <w:t xml:space="preserve">صافي السيولة المتاحة عبر البنوك في لوحة واحدة</w:t>
      </w:r>
    </w:p>
    <w:p>
      <w:pPr>
        <w:pStyle w:val="Heading3"/>
      </w:pPr>
      <w:bookmarkStart w:id="179" w:name="Xc1ce229afb17e7f45aa5587324823872d6d2c73"/>
      <w:r>
        <w:t xml:space="preserve">الدورة المالية للمشروع — من فتح مركز التكلفة حتى صافي الربح</w:t>
      </w:r>
      <w:bookmarkEnd w:id="179"/>
    </w:p>
    <w:p>
      <w:pPr>
        <w:pStyle w:val="FirstParagraph"/>
      </w:pPr>
      <w:r>
        <w:t xml:space="preserve">تُقرأ الخطوات من اليمين إلى اليسار، وكل خطوة تترك أثرها في دفاتر المشروع نفسه</w:t>
      </w:r>
    </w:p>
    <w:p>
      <w:pPr>
        <w:pStyle w:val="BodyText"/>
      </w:pPr>
      <w:r>
        <w:t xml:space="preserve">فتح المشروع</w:t>
      </w:r>
    </w:p>
    <w:p>
      <w:pPr>
        <w:pStyle w:val="BodyText"/>
      </w:pPr>
      <w:r>
        <w:t xml:space="preserve">مركز تكلفة ودفتر شيكات</w:t>
      </w:r>
    </w:p>
    <w:p>
      <w:pPr>
        <w:pStyle w:val="BodyText"/>
      </w:pPr>
      <w:r>
        <w:t xml:space="preserve">الموازنة</w:t>
      </w:r>
    </w:p>
    <w:p>
      <w:pPr>
        <w:pStyle w:val="BodyText"/>
      </w:pPr>
      <w:r>
        <w:t xml:space="preserve">تكاليف مخططة لكل بند</w:t>
      </w:r>
    </w:p>
    <w:p>
      <w:pPr>
        <w:pStyle w:val="BodyText"/>
      </w:pPr>
      <w:r>
        <w:t xml:space="preserve">المستخلص</w:t>
      </w:r>
    </w:p>
    <w:p>
      <w:pPr>
        <w:pStyle w:val="BodyText"/>
      </w:pPr>
      <w:r>
        <w:t xml:space="preserve">إيراد معتمد للمشروع</w:t>
      </w:r>
    </w:p>
    <w:p>
      <w:pPr>
        <w:pStyle w:val="BodyText"/>
      </w:pPr>
      <w:r>
        <w:t xml:space="preserve">استلام الشيك</w:t>
      </w:r>
    </w:p>
    <w:p>
      <w:pPr>
        <w:pStyle w:val="BodyText"/>
      </w:pPr>
      <w:r>
        <w:t xml:space="preserve">رقمه وبنكه واستحقاقه</w:t>
      </w:r>
    </w:p>
    <w:p>
      <w:pPr>
        <w:pStyle w:val="BodyText"/>
      </w:pPr>
      <w:r>
        <w:t xml:space="preserve">الإيداع البنكي</w:t>
      </w:r>
    </w:p>
    <w:p>
      <w:pPr>
        <w:pStyle w:val="BodyText"/>
      </w:pPr>
      <w:r>
        <w:t xml:space="preserve">في أحد البنوك الأربعة</w:t>
      </w:r>
    </w:p>
    <w:p>
      <w:pPr>
        <w:pStyle w:val="BodyText"/>
      </w:pPr>
      <w:r>
        <w:t xml:space="preserve">التحصيل</w:t>
      </w:r>
    </w:p>
    <w:p>
      <w:pPr>
        <w:pStyle w:val="BodyText"/>
      </w:pPr>
      <w:r>
        <w:t xml:space="preserve">أو الارتداد والاستبدال</w:t>
      </w:r>
    </w:p>
    <w:p>
      <w:pPr>
        <w:pStyle w:val="BodyText"/>
      </w:pPr>
      <w:r>
        <w:t xml:space="preserve">تحميل التكاليف</w:t>
      </w:r>
    </w:p>
    <w:p>
      <w:pPr>
        <w:pStyle w:val="BodyText"/>
      </w:pPr>
      <w:r>
        <w:t xml:space="preserve">مواد وعمالة وباطن ومعدات</w:t>
      </w:r>
    </w:p>
    <w:p>
      <w:pPr>
        <w:pStyle w:val="BodyText"/>
      </w:pPr>
      <w:r>
        <w:t xml:space="preserve">صافي الربح</w:t>
      </w:r>
    </w:p>
    <w:p>
      <w:pPr>
        <w:pStyle w:val="BodyText"/>
      </w:pPr>
      <w:r>
        <w:t xml:space="preserve">قائمة دخل لكل مشروع</w:t>
      </w:r>
    </w:p>
    <w:p>
      <w:pPr>
        <w:pStyle w:val="BodyText"/>
      </w:pPr>
      <w:r>
        <w:t xml:space="preserve">ملاحظة التنفيذ</w:t>
      </w:r>
    </w:p>
    <w:p>
      <w:pPr>
        <w:pStyle w:val="BodyText"/>
      </w:pPr>
      <w:r>
        <w:t xml:space="preserve">تُبنى شجرة الحسابات ومراكز التكلفة على هيكل مشاريع شركة لؤلؤة الشايع نفسه: لكل موقع مركز تكلفة ودفتر شيكات وحساب بنكي مرتبط، فلا تختلط أرقام مشروع بأرقام آخر عند الترحيل أو عند إصدار التقارير.</w:t>
      </w:r>
    </w:p>
    <w:p>
      <w:pPr>
        <w:pStyle w:val="BodyText"/>
      </w:pPr>
      <w:r>
        <w:t xml:space="preserve">المحاسبة — الصفحة</w:t>
      </w:r>
    </w:p>
    <w:p>
      <w:pPr>
        <w:pStyle w:val="BodyText"/>
      </w:pPr>
      <w:r>
        <w:t xml:space="preserve">وحدة المحاسبة والشؤون المالية</w:t>
      </w:r>
    </w:p>
    <w:p>
      <w:pPr>
        <w:pStyle w:val="Heading3"/>
      </w:pPr>
      <w:bookmarkStart w:id="180" w:name="دورة-الشيكات-ومسار-التحصيل"/>
      <w:r>
        <w:t xml:space="preserve">دورة الشيكات ومسار التحصيل</w:t>
      </w:r>
      <w:bookmarkEnd w:id="180"/>
    </w:p>
    <w:p>
      <w:pPr>
        <w:pStyle w:val="FirstParagraph"/>
      </w:pPr>
      <w:r>
        <w:t xml:space="preserve">مسار واحد واضح يحكم كل شيك مستلم من لحظة تسلّمه من العميل حتى دخول قيمته في حساب البنك — وبنفس الانضباط تُدار الشيكات الصادرة للموردين ومقاولي الباطن.</w:t>
      </w:r>
    </w:p>
    <w:p>
      <w:pPr>
        <w:pStyle w:val="Heading3"/>
      </w:pPr>
      <w:bookmarkStart w:id="181" w:name="تسجيل-الشيك"/>
      <w:r>
        <w:t xml:space="preserve">تسجيل الشيك</w:t>
      </w:r>
      <w:bookmarkEnd w:id="181"/>
    </w:p>
    <w:p>
      <w:pPr>
        <w:pStyle w:val="FirstParagraph"/>
      </w:pPr>
      <w:r>
        <w:t xml:space="preserve">رقم · بنك · استحقاق</w:t>
      </w:r>
    </w:p>
    <w:p>
      <w:pPr>
        <w:pStyle w:val="Heading3"/>
      </w:pPr>
      <w:bookmarkStart w:id="182" w:name="ربط-بالمشروع"/>
      <w:r>
        <w:t xml:space="preserve">ربط بالمشروع</w:t>
      </w:r>
      <w:bookmarkEnd w:id="182"/>
    </w:p>
    <w:p>
      <w:pPr>
        <w:pStyle w:val="FirstParagraph"/>
      </w:pPr>
      <w:r>
        <w:t xml:space="preserve">عميل · مركز تكلفة</w:t>
      </w:r>
    </w:p>
    <w:p>
      <w:pPr>
        <w:pStyle w:val="Heading3"/>
      </w:pPr>
      <w:bookmarkStart w:id="183" w:name="تحت-التحصيل"/>
      <w:r>
        <w:t xml:space="preserve">تحت التحصيل</w:t>
      </w:r>
      <w:bookmarkEnd w:id="183"/>
    </w:p>
    <w:p>
      <w:pPr>
        <w:pStyle w:val="FirstParagraph"/>
      </w:pPr>
      <w:r>
        <w:t xml:space="preserve">في خزينة الشيكات</w:t>
      </w:r>
    </w:p>
    <w:p>
      <w:pPr>
        <w:pStyle w:val="Heading3"/>
      </w:pPr>
      <w:bookmarkStart w:id="184" w:name="الإيداع-بالبنك"/>
      <w:r>
        <w:t xml:space="preserve">الإيداع بالبنك</w:t>
      </w:r>
      <w:bookmarkEnd w:id="184"/>
    </w:p>
    <w:p>
      <w:pPr>
        <w:pStyle w:val="FirstParagraph"/>
      </w:pPr>
      <w:r>
        <w:t xml:space="preserve">أحد البنوك الأربعة</w:t>
      </w:r>
    </w:p>
    <w:p>
      <w:pPr>
        <w:pStyle w:val="Heading3"/>
      </w:pPr>
      <w:bookmarkStart w:id="185" w:name="قيد-المقاصة"/>
      <w:r>
        <w:t xml:space="preserve">قيد المقاصة</w:t>
      </w:r>
      <w:bookmarkEnd w:id="185"/>
    </w:p>
    <w:p>
      <w:pPr>
        <w:pStyle w:val="FirstParagraph"/>
      </w:pPr>
      <w:r>
        <w:t xml:space="preserve">بانتظار رد البنك</w:t>
      </w:r>
    </w:p>
    <w:p>
      <w:pPr>
        <w:pStyle w:val="Heading3"/>
      </w:pPr>
      <w:bookmarkStart w:id="186" w:name="تم-التحصيل"/>
      <w:r>
        <w:t xml:space="preserve">تم التحصيل</w:t>
      </w:r>
      <w:bookmarkEnd w:id="186"/>
    </w:p>
    <w:p>
      <w:pPr>
        <w:pStyle w:val="FirstParagraph"/>
      </w:pPr>
      <w:r>
        <w:t xml:space="preserve">رصيد البنك يزيد</w:t>
      </w:r>
    </w:p>
    <w:p>
      <w:pPr>
        <w:pStyle w:val="Heading3"/>
      </w:pPr>
      <w:bookmarkStart w:id="187" w:name="شيك-مرتد"/>
      <w:r>
        <w:t xml:space="preserve">شيك مرتد</w:t>
      </w:r>
      <w:bookmarkEnd w:id="187"/>
    </w:p>
    <w:p>
      <w:pPr>
        <w:pStyle w:val="FirstParagraph"/>
      </w:pPr>
      <w:r>
        <w:t xml:space="preserve">يعود ديناً على العميل</w:t>
      </w:r>
    </w:p>
    <w:p>
      <w:pPr>
        <w:pStyle w:val="Heading3"/>
      </w:pPr>
      <w:bookmarkStart w:id="188" w:name="الاستبدال"/>
      <w:r>
        <w:t xml:space="preserve">الاستبدال</w:t>
      </w:r>
      <w:bookmarkEnd w:id="188"/>
    </w:p>
    <w:p>
      <w:pPr>
        <w:pStyle w:val="FirstParagraph"/>
      </w:pPr>
      <w:r>
        <w:t xml:space="preserve">شيك بديل بنفس السجل</w:t>
      </w:r>
    </w:p>
    <w:p>
      <w:pPr>
        <w:pStyle w:val="Heading3"/>
      </w:pPr>
      <w:bookmarkStart w:id="189" w:name="بطاقة-الشيك-البيانات-المسجلة"/>
      <w:r>
        <w:t xml:space="preserve">بطاقة الشيك — البيانات المسجَّلة</w:t>
      </w:r>
      <w:bookmarkEnd w:id="189"/>
    </w:p>
    <w:p>
      <w:pPr>
        <w:pStyle w:val="FirstParagraph"/>
      </w:pPr>
      <w:r>
        <w:t xml:space="preserve">حقول إلزامية عند الاستلام</w:t>
      </w:r>
    </w:p>
    <w:p>
      <w:pPr>
        <w:pStyle w:val="Heading3"/>
      </w:pPr>
      <w:bookmarkStart w:id="190" w:name="الشيكات-الصادرة-والتنبيهات"/>
      <w:r>
        <w:t xml:space="preserve">الشيكات الصادرة والتنبيهات</w:t>
      </w:r>
      <w:bookmarkEnd w:id="190"/>
    </w:p>
    <w:p>
      <w:pPr>
        <w:pStyle w:val="FirstParagraph"/>
      </w:pPr>
      <w:r>
        <w:t xml:space="preserve">الموردون ومقاولو الباطن</w:t>
      </w:r>
    </w:p>
    <w:p>
      <w:pPr>
        <w:pStyle w:val="BodyText"/>
      </w:pPr>
      <w:r>
        <w:t xml:space="preserve">الشيكات الصادرة تسير في المسار نفسه معكوساً: تُصدَر مقابل فاتورة مورد أو مستخلص مقاول باطن، وتُحمَّل على مشروعها، ولا تُصرف قبل اعتمادها.</w:t>
      </w:r>
    </w:p>
    <w:p>
      <w:pPr>
        <w:numPr>
          <w:ilvl w:val="0"/>
          <w:numId w:val="1074"/>
        </w:numPr>
        <w:pStyle w:val="Compact"/>
      </w:pPr>
      <w:r>
        <w:t xml:space="preserve">إصدار الشيك من دفتر البنك المحدد مع اعتماد إلزامي</w:t>
      </w:r>
    </w:p>
    <w:p>
      <w:pPr>
        <w:numPr>
          <w:ilvl w:val="0"/>
          <w:numId w:val="1074"/>
        </w:numPr>
        <w:pStyle w:val="Compact"/>
      </w:pPr>
      <w:r>
        <w:t xml:space="preserve">ربط الشيك الصادر بالمورد وبالمشروع المستفيد</w:t>
      </w:r>
    </w:p>
    <w:p>
      <w:pPr>
        <w:numPr>
          <w:ilvl w:val="0"/>
          <w:numId w:val="1074"/>
        </w:numPr>
        <w:pStyle w:val="Compact"/>
      </w:pPr>
      <w:r>
        <w:t xml:space="preserve">تنبيه قبل تاريخ الاستحقاق لضمان توفر الرصيد</w:t>
      </w:r>
    </w:p>
    <w:p>
      <w:pPr>
        <w:numPr>
          <w:ilvl w:val="0"/>
          <w:numId w:val="1074"/>
        </w:numPr>
        <w:pStyle w:val="Compact"/>
      </w:pPr>
      <w:r>
        <w:t xml:space="preserve">تنبيه بالشيكات الواردة المستحقة خلال الأيام القادمة</w:t>
      </w:r>
    </w:p>
    <w:p>
      <w:pPr>
        <w:numPr>
          <w:ilvl w:val="0"/>
          <w:numId w:val="1074"/>
        </w:numPr>
        <w:pStyle w:val="Compact"/>
      </w:pPr>
      <w:r>
        <w:t xml:space="preserve">تنبيه فوري عند تسجيل ارتداد شيك وإخطار مسؤول التحصيل</w:t>
      </w:r>
    </w:p>
    <w:p>
      <w:pPr>
        <w:numPr>
          <w:ilvl w:val="0"/>
          <w:numId w:val="1074"/>
        </w:numPr>
        <w:pStyle w:val="Compact"/>
      </w:pPr>
      <w:r>
        <w:t xml:space="preserve">إيقاف صرف شيك صادر وتوثيق سبب الإيقاف في سجله</w:t>
      </w:r>
    </w:p>
    <w:p>
      <w:pPr>
        <w:numPr>
          <w:ilvl w:val="0"/>
          <w:numId w:val="1074"/>
        </w:numPr>
        <w:pStyle w:val="Compact"/>
      </w:pPr>
      <w:r>
        <w:t xml:space="preserve">مطابقة الشيكات الصادرة المصروفة مع كشف حساب البنك</w:t>
      </w:r>
    </w:p>
    <w:p>
      <w:pPr>
        <w:pStyle w:val="Heading3"/>
      </w:pPr>
      <w:bookmarkStart w:id="191" w:name="Xcc232dca7b981fcd7ee2776ba83210ab9a53331"/>
      <w:r>
        <w:t xml:space="preserve">لوحة متابعة الشيكات — حسب الحالة وتاريخ الاستحقاق</w:t>
      </w:r>
      <w:bookmarkEnd w:id="191"/>
    </w:p>
    <w:p>
      <w:pPr>
        <w:pStyle w:val="FirstParagraph"/>
      </w:pPr>
      <w:r>
        <w:t xml:space="preserve">شاشة واحدة تُظهر العدد والقيمة، مع إمكانية التصفية بالمشروع أو بالعميل أو بالبنك</w:t>
      </w:r>
    </w:p>
    <w:p>
      <w:pPr>
        <w:pStyle w:val="BodyText"/>
      </w:pPr>
      <w:r>
        <w:t xml:space="preserve">تحت التحصيل</w:t>
      </w:r>
    </w:p>
    <w:p>
      <w:pPr>
        <w:pStyle w:val="BodyText"/>
      </w:pPr>
      <w:r>
        <w:t xml:space="preserve">عدد وقيمة الشيكات في الخزينة</w:t>
      </w:r>
    </w:p>
    <w:p>
      <w:pPr>
        <w:pStyle w:val="BodyText"/>
      </w:pPr>
      <w:r>
        <w:t xml:space="preserve">مودعة بالبنك</w:t>
      </w:r>
    </w:p>
    <w:p>
      <w:pPr>
        <w:pStyle w:val="BodyText"/>
      </w:pPr>
      <w:r>
        <w:t xml:space="preserve">موزَّعة على البنوك الأربعة</w:t>
      </w:r>
    </w:p>
    <w:p>
      <w:pPr>
        <w:pStyle w:val="BodyText"/>
      </w:pPr>
      <w:r>
        <w:t xml:space="preserve">محصَّلة</w:t>
      </w:r>
    </w:p>
    <w:p>
      <w:pPr>
        <w:pStyle w:val="BodyText"/>
      </w:pPr>
      <w:r>
        <w:t xml:space="preserve">إجمالي التحصيل خلال الفترة</w:t>
      </w:r>
    </w:p>
    <w:p>
      <w:pPr>
        <w:pStyle w:val="BodyText"/>
      </w:pPr>
      <w:r>
        <w:t xml:space="preserve">مرتدة</w:t>
      </w:r>
    </w:p>
    <w:p>
      <w:pPr>
        <w:pStyle w:val="BodyText"/>
      </w:pPr>
      <w:r>
        <w:t xml:space="preserve">مع سبب الارتداد والإجراء المتخذ</w:t>
      </w:r>
    </w:p>
    <w:p>
      <w:pPr>
        <w:pStyle w:val="BodyText"/>
      </w:pPr>
      <w:r>
        <w:t xml:space="preserve">تستحق قريباً</w:t>
      </w:r>
    </w:p>
    <w:p>
      <w:pPr>
        <w:pStyle w:val="BodyText"/>
      </w:pPr>
      <w:r>
        <w:t xml:space="preserve">خلال 7 و 15 و 30 يوماً</w:t>
      </w:r>
    </w:p>
    <w:p>
      <w:pPr>
        <w:pStyle w:val="BodyText"/>
      </w:pPr>
      <w:r>
        <w:t xml:space="preserve">ملاحظة على دورة الشيكات</w:t>
      </w:r>
    </w:p>
    <w:p>
      <w:pPr>
        <w:pStyle w:val="BodyText"/>
      </w:pPr>
      <w:r>
        <w:t xml:space="preserve">لا يُقفل أي شيك إلا بحالة نهائية موثَّقة، ولكل شيك سجل كامل يبيّن من سجّله ومن أودعه ومن أثبت تحصيله أو ارتداده وفي أي تاريخ — وهو ما يجعل مراجعة التحصيل لاحقاً مسألة دقائق.</w:t>
      </w:r>
    </w:p>
    <w:p>
      <w:pPr>
        <w:pStyle w:val="BodyText"/>
      </w:pPr>
      <w:r>
        <w:t xml:space="preserve">المحاسبة — الصفحة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رقم الشيك</w:t>
            </w:r>
          </w:p>
        </w:tc>
        <w:tc>
          <w:tcPr>
            <w:tcBorders>
              <w:bottom w:val="single"/>
            </w:tcBorders>
            <w:vAlign w:val="bottom"/>
          </w:tcPr>
          <w:p>
            <w:pPr>
              <w:pStyle w:val="Compact"/>
              <w:jc w:val="left"/>
            </w:pPr>
            <w:r>
              <w:t xml:space="preserve">فريد ولا يقبل التكرار</w:t>
            </w:r>
          </w:p>
        </w:tc>
      </w:tr>
      <w:tr>
        <w:tc>
          <w:p>
            <w:pPr>
              <w:pStyle w:val="Compact"/>
              <w:jc w:val="left"/>
            </w:pPr>
            <w:r>
              <w:t xml:space="preserve">البنك المسحوب عليه</w:t>
            </w:r>
          </w:p>
        </w:tc>
        <w:tc>
          <w:p>
            <w:pPr>
              <w:pStyle w:val="Compact"/>
              <w:jc w:val="left"/>
            </w:pPr>
            <w:r>
              <w:t xml:space="preserve">اسم البنك والفرع</w:t>
            </w:r>
          </w:p>
        </w:tc>
      </w:tr>
      <w:tr>
        <w:tc>
          <w:p>
            <w:pPr>
              <w:pStyle w:val="Compact"/>
              <w:jc w:val="left"/>
            </w:pPr>
            <w:r>
              <w:t xml:space="preserve">تاريخ الاستحقاق</w:t>
            </w:r>
          </w:p>
        </w:tc>
        <w:tc>
          <w:p>
            <w:pPr>
              <w:pStyle w:val="Compact"/>
              <w:jc w:val="left"/>
            </w:pPr>
            <w:r>
              <w:t xml:space="preserve">أساس التنبيه والتدفق النقدي</w:t>
            </w:r>
          </w:p>
        </w:tc>
      </w:tr>
      <w:tr>
        <w:tc>
          <w:p>
            <w:pPr>
              <w:pStyle w:val="Compact"/>
              <w:jc w:val="left"/>
            </w:pPr>
            <w:r>
              <w:t xml:space="preserve">العميل</w:t>
            </w:r>
          </w:p>
        </w:tc>
        <w:tc>
          <w:p>
            <w:pPr>
              <w:pStyle w:val="Compact"/>
              <w:jc w:val="left"/>
            </w:pPr>
            <w:r>
              <w:t xml:space="preserve">مرتبط بكشف حسابه</w:t>
            </w:r>
          </w:p>
        </w:tc>
      </w:tr>
      <w:tr>
        <w:tc>
          <w:p>
            <w:pPr>
              <w:pStyle w:val="Compact"/>
              <w:jc w:val="left"/>
            </w:pPr>
            <w:r>
              <w:t xml:space="preserve">المشروع ودفتر الشيكات</w:t>
            </w:r>
          </w:p>
        </w:tc>
        <w:tc>
          <w:p>
            <w:pPr>
              <w:pStyle w:val="Compact"/>
              <w:jc w:val="left"/>
            </w:pPr>
            <w:r>
              <w:t xml:space="preserve">مركز التكلفة والدفتر المخصص</w:t>
            </w:r>
          </w:p>
        </w:tc>
      </w:tr>
      <w:tr>
        <w:tc>
          <w:p>
            <w:pPr>
              <w:pStyle w:val="Compact"/>
              <w:jc w:val="left"/>
            </w:pPr>
            <w:r>
              <w:t xml:space="preserve">القيمة</w:t>
            </w:r>
          </w:p>
        </w:tc>
        <w:tc>
          <w:p>
            <w:pPr>
              <w:pStyle w:val="Compact"/>
              <w:jc w:val="left"/>
            </w:pPr>
            <w:r>
              <w:t xml:space="preserve">بعملة KWD</w:t>
            </w:r>
          </w:p>
        </w:tc>
      </w:tr>
      <w:tr>
        <w:tc>
          <w:p>
            <w:pPr>
              <w:pStyle w:val="Compact"/>
              <w:jc w:val="left"/>
            </w:pPr>
            <w:r>
              <w:t xml:space="preserve">نوع الشيك</w:t>
            </w:r>
          </w:p>
        </w:tc>
        <w:tc>
          <w:p>
            <w:pPr>
              <w:pStyle w:val="Compact"/>
              <w:jc w:val="left"/>
            </w:pPr>
            <w:r>
              <w:t xml:space="preserve">وارد من عميل أو صادر لمورد وباطن</w:t>
            </w:r>
          </w:p>
        </w:tc>
      </w:tr>
      <w:tr>
        <w:tc>
          <w:p>
            <w:pPr>
              <w:pStyle w:val="Compact"/>
              <w:jc w:val="left"/>
            </w:pPr>
            <w:r>
              <w:t xml:space="preserve">المرفقات</w:t>
            </w:r>
          </w:p>
        </w:tc>
        <w:tc>
          <w:p>
            <w:pPr>
              <w:pStyle w:val="Compact"/>
              <w:jc w:val="left"/>
            </w:pPr>
            <w:r>
              <w:t xml:space="preserve">صورة الشيك وإشعار الإيداع البنكي</w:t>
            </w:r>
          </w:p>
        </w:tc>
      </w:tr>
      <w:tr>
        <w:tc>
          <w:p>
            <w:pPr>
              <w:pStyle w:val="Compact"/>
              <w:jc w:val="left"/>
            </w:pPr>
            <w:r>
              <w:t xml:space="preserve">الحالة والسجل</w:t>
            </w:r>
          </w:p>
        </w:tc>
        <w:tc>
          <w:p>
            <w:pPr>
              <w:pStyle w:val="Compact"/>
              <w:jc w:val="left"/>
            </w:pPr>
            <w:r>
              <w:t xml:space="preserve">كل تغيير حالة موثَّق بتاريخه ومستخدمه</w:t>
            </w:r>
          </w:p>
        </w:tc>
      </w:tr>
    </w:tbl>
    <w:p>
      <w:pPr>
        <w:pStyle w:val="BodyText"/>
      </w:pPr>
      <w:r>
        <w:t xml:space="preserve">وحدة المحاسبة والشؤون المالية</w:t>
      </w:r>
    </w:p>
    <w:p>
      <w:pPr>
        <w:pStyle w:val="Heading3"/>
      </w:pPr>
      <w:bookmarkStart w:id="192" w:name="الوظائف-والإمكانات-4"/>
      <w:r>
        <w:t xml:space="preserve">الوظائف والإمكانات</w:t>
      </w:r>
      <w:bookmarkEnd w:id="192"/>
    </w:p>
    <w:p>
      <w:pPr>
        <w:pStyle w:val="FirstParagraph"/>
      </w:pPr>
      <w:r>
        <w:t xml:space="preserve">ما يقع تحت الدورة المالية من تفصيل يومي: حسابات العملاء، دورة المصروفات، البنوك الأربعة ومطابقتها، والأصول والمعدات وإهلاكها المحمَّل على المشاريع المستفيدة.</w:t>
      </w:r>
    </w:p>
    <w:p>
      <w:pPr>
        <w:pStyle w:val="Heading3"/>
      </w:pPr>
      <w:bookmarkStart w:id="193" w:name="حسابات-العملاء-وكشوف-الحساب"/>
      <w:r>
        <w:t xml:space="preserve">حسابات العملاء وكشوف الحساب</w:t>
      </w:r>
      <w:bookmarkEnd w:id="193"/>
    </w:p>
    <w:p>
      <w:pPr>
        <w:pStyle w:val="FirstParagraph"/>
      </w:pPr>
      <w:r>
        <w:t xml:space="preserve">موزَّعة أيضاً حسب المشروع</w:t>
      </w:r>
    </w:p>
    <w:p>
      <w:pPr>
        <w:pStyle w:val="BodyText"/>
      </w:pPr>
      <w:r>
        <w:t xml:space="preserve">كشف حساب كامل لكل عميل يعرض كل حركة عليه، ويمكن تصفيته على مشروع بعينه لمعرفة ما له وما عليه في ذلك الموقع تحديداً.</w:t>
      </w:r>
    </w:p>
    <w:p>
      <w:pPr>
        <w:numPr>
          <w:ilvl w:val="0"/>
          <w:numId w:val="1075"/>
        </w:numPr>
        <w:pStyle w:val="Compact"/>
      </w:pPr>
      <w:r>
        <w:t xml:space="preserve">الحركات كاملة: مستخلصات، فواتير، دفعات، إشعارات</w:t>
      </w:r>
    </w:p>
    <w:p>
      <w:pPr>
        <w:numPr>
          <w:ilvl w:val="0"/>
          <w:numId w:val="1075"/>
        </w:numPr>
        <w:pStyle w:val="Compact"/>
      </w:pPr>
      <w:r>
        <w:t xml:space="preserve">الذمم المدينة وأعمارها في فئات زمنية متدرجة</w:t>
      </w:r>
    </w:p>
    <w:p>
      <w:pPr>
        <w:numPr>
          <w:ilvl w:val="0"/>
          <w:numId w:val="1075"/>
        </w:numPr>
        <w:pStyle w:val="Compact"/>
      </w:pPr>
      <w:r>
        <w:t xml:space="preserve">الدفعات المقدمة وتسويتها على المستخلصات لاحقاً</w:t>
      </w:r>
    </w:p>
    <w:p>
      <w:pPr>
        <w:numPr>
          <w:ilvl w:val="0"/>
          <w:numId w:val="1075"/>
        </w:numPr>
        <w:pStyle w:val="Compact"/>
      </w:pPr>
      <w:r>
        <w:t xml:space="preserve">المحتجزات وتتبع تواريخ الإفراج عنها</w:t>
      </w:r>
    </w:p>
    <w:p>
      <w:pPr>
        <w:numPr>
          <w:ilvl w:val="0"/>
          <w:numId w:val="1075"/>
        </w:numPr>
        <w:pStyle w:val="Compact"/>
      </w:pPr>
      <w:r>
        <w:t xml:space="preserve">سجل الشيكات المستلمة من العميل بحالاتها كافة</w:t>
      </w:r>
    </w:p>
    <w:p>
      <w:pPr>
        <w:pStyle w:val="Heading3"/>
      </w:pPr>
      <w:bookmarkStart w:id="194" w:name="دورة-المصروفات-والالتزامات"/>
      <w:r>
        <w:t xml:space="preserve">دورة المصروفات والالتزامات</w:t>
      </w:r>
      <w:bookmarkEnd w:id="194"/>
    </w:p>
    <w:p>
      <w:pPr>
        <w:pStyle w:val="FirstParagraph"/>
      </w:pPr>
      <w:r>
        <w:t xml:space="preserve">كل مصروف يعرف مشروعه</w:t>
      </w:r>
    </w:p>
    <w:p>
      <w:pPr>
        <w:pStyle w:val="BodyText"/>
      </w:pPr>
      <w:r>
        <w:t xml:space="preserve">لا يُعتمد مصروف دون تحديد المشروع الذي يُحمَّل عليه أو قاعدة توزيعه، وهو ما يجعل تكلفة كل موقع رقماً حقيقياً لا تقديراً.</w:t>
      </w:r>
    </w:p>
    <w:p>
      <w:pPr>
        <w:numPr>
          <w:ilvl w:val="0"/>
          <w:numId w:val="1076"/>
        </w:numPr>
        <w:pStyle w:val="Compact"/>
      </w:pPr>
      <w:r>
        <w:t xml:space="preserve">فواتير الموردين ومستخلصات مقاولي الباطن</w:t>
      </w:r>
    </w:p>
    <w:p>
      <w:pPr>
        <w:numPr>
          <w:ilvl w:val="0"/>
          <w:numId w:val="1076"/>
        </w:numPr>
        <w:pStyle w:val="Compact"/>
      </w:pPr>
      <w:r>
        <w:t xml:space="preserve">الرواتب وأجور العمالة محمَّلة على المشاريع</w:t>
      </w:r>
    </w:p>
    <w:p>
      <w:pPr>
        <w:numPr>
          <w:ilvl w:val="0"/>
          <w:numId w:val="1076"/>
        </w:numPr>
        <w:pStyle w:val="Compact"/>
      </w:pPr>
      <w:r>
        <w:t xml:space="preserve">مصروفات المعدات والوقود وقطع الغيار</w:t>
      </w:r>
    </w:p>
    <w:p>
      <w:pPr>
        <w:numPr>
          <w:ilvl w:val="0"/>
          <w:numId w:val="1076"/>
        </w:numPr>
        <w:pStyle w:val="Compact"/>
      </w:pPr>
      <w:r>
        <w:t xml:space="preserve">المصروفات العامة والإدارية وقواعد توزيعها</w:t>
      </w:r>
    </w:p>
    <w:p>
      <w:pPr>
        <w:numPr>
          <w:ilvl w:val="0"/>
          <w:numId w:val="1076"/>
        </w:numPr>
        <w:pStyle w:val="Compact"/>
      </w:pPr>
      <w:r>
        <w:t xml:space="preserve">دورة اعتماد متدرجة قبل الصرف حسب قيمة المصروف</w:t>
      </w:r>
    </w:p>
    <w:p>
      <w:pPr>
        <w:pStyle w:val="Heading3"/>
      </w:pPr>
      <w:bookmarkStart w:id="195" w:name="البنوك-الأربعة-والمطابقة-البنكية"/>
      <w:r>
        <w:t xml:space="preserve">البنوك الأربعة والمطابقة البنكية</w:t>
      </w:r>
      <w:bookmarkEnd w:id="195"/>
    </w:p>
    <w:p>
      <w:pPr>
        <w:pStyle w:val="FirstParagraph"/>
      </w:pPr>
      <w:r>
        <w:t xml:space="preserve">كل بنك بدفتره ورصيده</w:t>
      </w:r>
    </w:p>
    <w:p>
      <w:pPr>
        <w:pStyle w:val="BodyText"/>
      </w:pPr>
      <w:r>
        <w:t xml:space="preserve">يُدار كل حساب بنكي على حدة برصيده وكشوفه ومطابقته، ثم تُجمع الأرصدة في صورة واحدة للسيولة المتاحة للشركة.</w:t>
      </w:r>
    </w:p>
    <w:p>
      <w:pPr>
        <w:numPr>
          <w:ilvl w:val="0"/>
          <w:numId w:val="1077"/>
        </w:numPr>
        <w:pStyle w:val="Compact"/>
      </w:pPr>
      <w:r>
        <w:t xml:space="preserve">رصيد دفتري ورصيد بنكي معروضان جنباً إلى جنب</w:t>
      </w:r>
    </w:p>
    <w:p>
      <w:pPr>
        <w:numPr>
          <w:ilvl w:val="0"/>
          <w:numId w:val="1077"/>
        </w:numPr>
        <w:pStyle w:val="Compact"/>
      </w:pPr>
      <w:r>
        <w:t xml:space="preserve">مطابقة دورية للبنود المعلقة وتسوية الفروقات</w:t>
      </w:r>
    </w:p>
    <w:p>
      <w:pPr>
        <w:numPr>
          <w:ilvl w:val="0"/>
          <w:numId w:val="1077"/>
        </w:numPr>
        <w:pStyle w:val="Compact"/>
      </w:pPr>
      <w:r>
        <w:t xml:space="preserve">ربط كل بنك بالمشاريع والشيكات التي تمر خلاله</w:t>
      </w:r>
    </w:p>
    <w:p>
      <w:pPr>
        <w:numPr>
          <w:ilvl w:val="0"/>
          <w:numId w:val="1077"/>
        </w:numPr>
        <w:pStyle w:val="Compact"/>
      </w:pPr>
      <w:r>
        <w:t xml:space="preserve">تحويلات بين البنوك مسجَّلة ومعتمدة ومؤرَّخة</w:t>
      </w:r>
    </w:p>
    <w:p>
      <w:pPr>
        <w:numPr>
          <w:ilvl w:val="0"/>
          <w:numId w:val="1077"/>
        </w:numPr>
        <w:pStyle w:val="Compact"/>
      </w:pPr>
      <w:r>
        <w:t xml:space="preserve">صورة موحدة للسيولة عبر البنوك الأربعة في لوحة واحدة</w:t>
      </w:r>
    </w:p>
    <w:p>
      <w:pPr>
        <w:pStyle w:val="Heading3"/>
      </w:pPr>
      <w:bookmarkStart w:id="196" w:name="الأصول-الثابتة-والمعدات"/>
      <w:r>
        <w:t xml:space="preserve">الأصول الثابتة والمعدات</w:t>
      </w:r>
      <w:bookmarkEnd w:id="196"/>
    </w:p>
    <w:p>
      <w:pPr>
        <w:pStyle w:val="FirstParagraph"/>
      </w:pPr>
      <w:r>
        <w:t xml:space="preserve">إهلاك محمَّل على المشروع المستفيد</w:t>
      </w:r>
    </w:p>
    <w:p>
      <w:pPr>
        <w:pStyle w:val="BodyText"/>
      </w:pPr>
      <w:r>
        <w:t xml:space="preserve">معدات الإنشاء والمركبات مسجَّلة كأصول لها قيمتها وعمرها الإنتاجي، ويُحمَّل إهلاكها الدوري على المشاريع التي عملت فيها فعلاً.</w:t>
      </w:r>
    </w:p>
    <w:p>
      <w:pPr>
        <w:numPr>
          <w:ilvl w:val="0"/>
          <w:numId w:val="1078"/>
        </w:numPr>
        <w:pStyle w:val="Compact"/>
      </w:pPr>
      <w:r>
        <w:t xml:space="preserve">سجل أصول بقيمة الشراء والعمر الإنتاجي وطريقة الإهلاك</w:t>
      </w:r>
    </w:p>
    <w:p>
      <w:pPr>
        <w:numPr>
          <w:ilvl w:val="0"/>
          <w:numId w:val="1078"/>
        </w:numPr>
        <w:pStyle w:val="Compact"/>
      </w:pPr>
      <w:r>
        <w:t xml:space="preserve">قيود إهلاك دورية آلية دون تدخل يدوي</w:t>
      </w:r>
    </w:p>
    <w:p>
      <w:pPr>
        <w:numPr>
          <w:ilvl w:val="0"/>
          <w:numId w:val="1078"/>
        </w:numPr>
        <w:pStyle w:val="Compact"/>
      </w:pPr>
      <w:r>
        <w:t xml:space="preserve">توزيع الإهلاك على المشاريع حسب فترة الاستخدام</w:t>
      </w:r>
    </w:p>
    <w:p>
      <w:pPr>
        <w:numPr>
          <w:ilvl w:val="0"/>
          <w:numId w:val="1078"/>
        </w:numPr>
        <w:pStyle w:val="Compact"/>
      </w:pPr>
      <w:r>
        <w:t xml:space="preserve">تكلفة تشغيل المعدة مقارنة بما حمَّلته على المشاريع</w:t>
      </w:r>
    </w:p>
    <w:p>
      <w:pPr>
        <w:numPr>
          <w:ilvl w:val="0"/>
          <w:numId w:val="1078"/>
        </w:numPr>
        <w:pStyle w:val="Compact"/>
      </w:pPr>
      <w:r>
        <w:t xml:space="preserve">الاستبعاد والبيع وأثرهما في الدفاتر</w:t>
      </w:r>
    </w:p>
    <w:p>
      <w:pPr>
        <w:pStyle w:val="Heading3"/>
      </w:pPr>
      <w:bookmarkStart w:id="197" w:name="X9c4db4bf3084798ddb418e00e04c60757fc3452"/>
      <w:r>
        <w:t xml:space="preserve">دفتر شيكات مخصص لكل مشروع — فصل تام بين المواقع</w:t>
      </w:r>
      <w:bookmarkEnd w:id="197"/>
    </w:p>
    <w:p>
      <w:pPr>
        <w:pStyle w:val="FirstParagraph"/>
      </w:pPr>
      <w:r>
        <w:t xml:space="preserve">لا يختلط تحصيل مشروع بآخر، ويمكن استخراج سجل شيكات كل مشروع على حدة في أي وقت</w:t>
      </w:r>
    </w:p>
    <w:p>
      <w:pPr>
        <w:pStyle w:val="BodyText"/>
      </w:pPr>
      <w:r>
        <w:t xml:space="preserve">دفتر مستقل</w:t>
      </w:r>
    </w:p>
    <w:p>
      <w:pPr>
        <w:pStyle w:val="BodyText"/>
      </w:pPr>
      <w:r>
        <w:t xml:space="preserve">لكل مشروع دفتر شيكات خاص به</w:t>
      </w:r>
    </w:p>
    <w:p>
      <w:pPr>
        <w:pStyle w:val="BodyText"/>
      </w:pPr>
      <w:r>
        <w:t xml:space="preserve">ربط إلزامي</w:t>
      </w:r>
    </w:p>
    <w:p>
      <w:pPr>
        <w:pStyle w:val="BodyText"/>
      </w:pPr>
      <w:r>
        <w:t xml:space="preserve">كل شيك بمشروعه وحسابه المالي</w:t>
      </w:r>
    </w:p>
    <w:p>
      <w:pPr>
        <w:pStyle w:val="BodyText"/>
      </w:pPr>
      <w:r>
        <w:t xml:space="preserve">حساب العميل</w:t>
      </w:r>
    </w:p>
    <w:p>
      <w:pPr>
        <w:pStyle w:val="BodyText"/>
      </w:pPr>
      <w:r>
        <w:t xml:space="preserve">رصيد العميل مقروء لكل مشروع</w:t>
      </w:r>
    </w:p>
    <w:p>
      <w:pPr>
        <w:pStyle w:val="BodyText"/>
      </w:pPr>
      <w:r>
        <w:t xml:space="preserve">ربط بالبنك</w:t>
      </w:r>
    </w:p>
    <w:p>
      <w:pPr>
        <w:pStyle w:val="BodyText"/>
      </w:pPr>
      <w:r>
        <w:t xml:space="preserve">البنك الذي أُودع فيه الشيك محدد</w:t>
      </w:r>
    </w:p>
    <w:p>
      <w:pPr>
        <w:pStyle w:val="BodyText"/>
      </w:pPr>
      <w:r>
        <w:t xml:space="preserve">سجل قابل للاستخراج</w:t>
      </w:r>
    </w:p>
    <w:p>
      <w:pPr>
        <w:pStyle w:val="BodyText"/>
      </w:pPr>
      <w:r>
        <w:t xml:space="preserve">تقرير شيكات المشروع إلى Excel</w:t>
      </w:r>
    </w:p>
    <w:p>
      <w:pPr>
        <w:pStyle w:val="BodyText"/>
      </w:pPr>
      <w:r>
        <w:t xml:space="preserve">ملاحظة على الضبط الداخلي</w:t>
      </w:r>
    </w:p>
    <w:p>
      <w:pPr>
        <w:pStyle w:val="BodyText"/>
      </w:pPr>
      <w:r>
        <w:t xml:space="preserve">حقل المشروع إلزامي على كل حركة مالية — إيراداً كان أو مصروفاً أو شيكاً — فلا يمكن ترحيل قيد يتيم بلا مركز تكلفة، وهذه القاعدة وحدها هي ما يضمن أن تكون ربحية كل مشروع رقماً موثوقاً في نهاية الشهر.</w:t>
      </w:r>
    </w:p>
    <w:p>
      <w:pPr>
        <w:pStyle w:val="BodyText"/>
      </w:pPr>
      <w:r>
        <w:t xml:space="preserve">المحاسبة — الصفحة</w:t>
      </w:r>
    </w:p>
    <w:p>
      <w:pPr>
        <w:pStyle w:val="BodyText"/>
      </w:pPr>
      <w:r>
        <w:t xml:space="preserve">وحدة المحاسبة والشؤون المالية</w:t>
      </w:r>
    </w:p>
    <w:p>
      <w:pPr>
        <w:pStyle w:val="Heading3"/>
      </w:pPr>
      <w:bookmarkStart w:id="198" w:name="التقارير-والتحليلات-المالية"/>
      <w:r>
        <w:t xml:space="preserve">التقارير والتحليلات المالية</w:t>
      </w:r>
      <w:bookmarkEnd w:id="198"/>
    </w:p>
    <w:p>
      <w:pPr>
        <w:pStyle w:val="FirstParagraph"/>
      </w:pPr>
      <w:r>
        <w:t xml:space="preserve">تقارير مصمَّمة للقرار لا للأرشفة: ربحية كل مشروع، أعمار الذمم، حركة الشيكات، أرصدة البنوك الأربعة، والتدفق النقدي المتوقع وفق تواريخ استحقاق الشيكات.</w:t>
      </w:r>
    </w:p>
    <w:p>
      <w:pPr>
        <w:pStyle w:val="Heading3"/>
      </w:pPr>
      <w:bookmarkStart w:id="199" w:name="ربحية-المشاريع"/>
      <w:r>
        <w:t xml:space="preserve">ربحية المشاريع</w:t>
      </w:r>
      <w:bookmarkEnd w:id="199"/>
    </w:p>
    <w:p>
      <w:pPr>
        <w:pStyle w:val="FirstParagraph"/>
      </w:pPr>
      <w:r>
        <w:t xml:space="preserve">قائمة دخل لكل مشروع على حدة</w:t>
      </w:r>
    </w:p>
    <w:p>
      <w:pPr>
        <w:pStyle w:val="BodyText"/>
      </w:pPr>
      <w:r>
        <w:t xml:space="preserve">تقرير يعرض لكل مشروع إيراده وتكلفته المباشرة ونصيبه من غير المباشرة وصافي ربحه، مع مقارنته بالموازنة المعتمدة له.</w:t>
      </w:r>
    </w:p>
    <w:p>
      <w:pPr>
        <w:numPr>
          <w:ilvl w:val="0"/>
          <w:numId w:val="1079"/>
        </w:numPr>
        <w:pStyle w:val="Compact"/>
      </w:pPr>
      <w:r>
        <w:t xml:space="preserve">صافي ربح كل مشروع بقيمته وبنسبته المئوية</w:t>
      </w:r>
    </w:p>
    <w:p>
      <w:pPr>
        <w:numPr>
          <w:ilvl w:val="0"/>
          <w:numId w:val="1079"/>
        </w:numPr>
        <w:pStyle w:val="Compact"/>
      </w:pPr>
      <w:r>
        <w:t xml:space="preserve">الإيراد مقابل التكلفة لكل مشروع في أي فترة</w:t>
      </w:r>
    </w:p>
    <w:p>
      <w:pPr>
        <w:numPr>
          <w:ilvl w:val="0"/>
          <w:numId w:val="1079"/>
        </w:numPr>
        <w:pStyle w:val="Compact"/>
      </w:pPr>
      <w:r>
        <w:t xml:space="preserve">تحليل التكلفة إلى مواد وعمالة وباطن ومعدات</w:t>
      </w:r>
    </w:p>
    <w:p>
      <w:pPr>
        <w:numPr>
          <w:ilvl w:val="0"/>
          <w:numId w:val="1079"/>
        </w:numPr>
        <w:pStyle w:val="Compact"/>
      </w:pPr>
      <w:r>
        <w:t xml:space="preserve">انحراف التكلفة الفعلية عن الموازنة التقديرية</w:t>
      </w:r>
    </w:p>
    <w:p>
      <w:pPr>
        <w:numPr>
          <w:ilvl w:val="0"/>
          <w:numId w:val="1079"/>
        </w:numPr>
        <w:pStyle w:val="Compact"/>
      </w:pPr>
      <w:r>
        <w:t xml:space="preserve">ترتيب المشاريع من الأعلى ربحية إلى الأدنى</w:t>
      </w:r>
    </w:p>
    <w:p>
      <w:pPr>
        <w:pStyle w:val="Heading3"/>
      </w:pPr>
      <w:bookmarkStart w:id="200" w:name="الذمم-المدينة-وأعمارها"/>
      <w:r>
        <w:t xml:space="preserve">الذمم المدينة وأعمارها</w:t>
      </w:r>
      <w:bookmarkEnd w:id="200"/>
    </w:p>
    <w:p>
      <w:pPr>
        <w:pStyle w:val="FirstParagraph"/>
      </w:pPr>
      <w:r>
        <w:t xml:space="preserve">حسب العميل وحسب المشروع</w:t>
      </w:r>
    </w:p>
    <w:p>
      <w:pPr>
        <w:pStyle w:val="BodyText"/>
      </w:pPr>
      <w:r>
        <w:t xml:space="preserve">جدول أعمار يوزّع المديونية على فئات زمنية، ويكشف بوضوح أين تتراكم المتأخرات وعلى أي عميل وفي أي مشروع.</w:t>
      </w:r>
    </w:p>
    <w:p>
      <w:pPr>
        <w:numPr>
          <w:ilvl w:val="0"/>
          <w:numId w:val="1080"/>
        </w:numPr>
        <w:pStyle w:val="Compact"/>
      </w:pPr>
      <w:r>
        <w:t xml:space="preserve">فئات الأعمار: 30 و 60 و 90 ويوم وما فوق</w:t>
      </w:r>
    </w:p>
    <w:p>
      <w:pPr>
        <w:numPr>
          <w:ilvl w:val="0"/>
          <w:numId w:val="1080"/>
        </w:numPr>
        <w:pStyle w:val="Compact"/>
      </w:pPr>
      <w:r>
        <w:t xml:space="preserve">كشف حساب تفصيلي لكل عميل قابل للطباعة والإرسال</w:t>
      </w:r>
    </w:p>
    <w:p>
      <w:pPr>
        <w:numPr>
          <w:ilvl w:val="0"/>
          <w:numId w:val="1080"/>
        </w:numPr>
        <w:pStyle w:val="Compact"/>
      </w:pPr>
      <w:r>
        <w:t xml:space="preserve">المحتجزات والدفعات المقدمة معروضة بشكل منفصل</w:t>
      </w:r>
    </w:p>
    <w:p>
      <w:pPr>
        <w:numPr>
          <w:ilvl w:val="0"/>
          <w:numId w:val="1080"/>
        </w:numPr>
        <w:pStyle w:val="Compact"/>
      </w:pPr>
      <w:r>
        <w:t xml:space="preserve">متوسط فترة التحصيل بالأيام لكل عميل</w:t>
      </w:r>
    </w:p>
    <w:p>
      <w:pPr>
        <w:numPr>
          <w:ilvl w:val="0"/>
          <w:numId w:val="1080"/>
        </w:numPr>
        <w:pStyle w:val="Compact"/>
      </w:pPr>
      <w:r>
        <w:t xml:space="preserve">قائمة متابعة بالعملاء الأعلى تأخراً في السداد</w:t>
      </w:r>
    </w:p>
    <w:p>
      <w:pPr>
        <w:pStyle w:val="Heading3"/>
      </w:pPr>
      <w:bookmarkStart w:id="201" w:name="تقارير-الشيكات-والتدفق-النقدي"/>
      <w:r>
        <w:t xml:space="preserve">تقارير الشيكات والتدفق النقدي</w:t>
      </w:r>
      <w:bookmarkEnd w:id="201"/>
    </w:p>
    <w:p>
      <w:pPr>
        <w:pStyle w:val="FirstParagraph"/>
      </w:pPr>
      <w:r>
        <w:t xml:space="preserve">حسب الحالة وتاريخ الاستحقاق</w:t>
      </w:r>
    </w:p>
    <w:p>
      <w:pPr>
        <w:pStyle w:val="BodyText"/>
      </w:pPr>
      <w:r>
        <w:t xml:space="preserve">لأن التحصيل يتم بالشيكات، فإن تواريخ استحقاقها هي أدق أساس لتوقع السيولة — والنظام يبني التدفق النقدي المتوقع عليها مباشرة.</w:t>
      </w:r>
    </w:p>
    <w:p>
      <w:pPr>
        <w:numPr>
          <w:ilvl w:val="0"/>
          <w:numId w:val="1081"/>
        </w:numPr>
        <w:pStyle w:val="Compact"/>
      </w:pPr>
      <w:r>
        <w:t xml:space="preserve">قيمة الشيكات تحت التحصيل وقيمة الشيكات المرتدة</w:t>
      </w:r>
    </w:p>
    <w:p>
      <w:pPr>
        <w:numPr>
          <w:ilvl w:val="0"/>
          <w:numId w:val="1081"/>
        </w:numPr>
        <w:pStyle w:val="Compact"/>
      </w:pPr>
      <w:r>
        <w:t xml:space="preserve">تدفق نقدي متوقع أسبوعياً وشهرياً من تواريخ الاستحقاق</w:t>
      </w:r>
    </w:p>
    <w:p>
      <w:pPr>
        <w:numPr>
          <w:ilvl w:val="0"/>
          <w:numId w:val="1081"/>
        </w:numPr>
        <w:pStyle w:val="Compact"/>
      </w:pPr>
      <w:r>
        <w:t xml:space="preserve">الشيكات الصادرة المستحقة مقابل الأرصدة المتاحة</w:t>
      </w:r>
    </w:p>
    <w:p>
      <w:pPr>
        <w:numPr>
          <w:ilvl w:val="0"/>
          <w:numId w:val="1081"/>
        </w:numPr>
        <w:pStyle w:val="Compact"/>
      </w:pPr>
      <w:r>
        <w:t xml:space="preserve">نسبة التحصيل ومعدل الارتداد لكل عميل ولكل مشروع</w:t>
      </w:r>
    </w:p>
    <w:p>
      <w:pPr>
        <w:numPr>
          <w:ilvl w:val="0"/>
          <w:numId w:val="1081"/>
        </w:numPr>
        <w:pStyle w:val="Compact"/>
      </w:pPr>
      <w:r>
        <w:t xml:space="preserve">سجل شيكات كل مشروع قابل للتصدير في أي وقت</w:t>
      </w:r>
    </w:p>
    <w:p>
      <w:pPr>
        <w:pStyle w:val="Heading3"/>
      </w:pPr>
      <w:bookmarkStart w:id="202" w:name="المركز-المالي-المجمع"/>
      <w:r>
        <w:t xml:space="preserve">المركز المالي المجمَّع</w:t>
      </w:r>
      <w:bookmarkEnd w:id="202"/>
    </w:p>
    <w:p>
      <w:pPr>
        <w:pStyle w:val="FirstParagraph"/>
      </w:pPr>
      <w:r>
        <w:t xml:space="preserve">الشركة كاملة في صفحة واحدة</w:t>
      </w:r>
    </w:p>
    <w:p>
      <w:pPr>
        <w:pStyle w:val="BodyText"/>
      </w:pPr>
      <w:r>
        <w:t xml:space="preserve">القوائم المالية المعتادة على مستوى الشركة، مع إمكانية النزول من الرقم المجمَّع إلى المشروع الذي كوّنه ثم إلى المستند نفسه.</w:t>
      </w:r>
    </w:p>
    <w:p>
      <w:pPr>
        <w:numPr>
          <w:ilvl w:val="0"/>
          <w:numId w:val="1082"/>
        </w:numPr>
        <w:pStyle w:val="Compact"/>
      </w:pPr>
      <w:r>
        <w:t xml:space="preserve">الميزانية العمومية وقائمة الدخل وميزان المراجعة</w:t>
      </w:r>
    </w:p>
    <w:p>
      <w:pPr>
        <w:numPr>
          <w:ilvl w:val="0"/>
          <w:numId w:val="1082"/>
        </w:numPr>
        <w:pStyle w:val="Compact"/>
      </w:pPr>
      <w:r>
        <w:t xml:space="preserve">أرصدة البنوك الأربعة وصافي السيولة المتاحة</w:t>
      </w:r>
    </w:p>
    <w:p>
      <w:pPr>
        <w:numPr>
          <w:ilvl w:val="0"/>
          <w:numId w:val="1082"/>
        </w:numPr>
        <w:pStyle w:val="Compact"/>
      </w:pPr>
      <w:r>
        <w:t xml:space="preserve">مقارنة الفترات ومقارنة المشاريع في تقرير واحد</w:t>
      </w:r>
    </w:p>
    <w:p>
      <w:pPr>
        <w:numPr>
          <w:ilvl w:val="0"/>
          <w:numId w:val="1082"/>
        </w:numPr>
        <w:pStyle w:val="Compact"/>
      </w:pPr>
      <w:r>
        <w:t xml:space="preserve">تصدير إلى Excel و PDF للعرض على الإدارة</w:t>
      </w:r>
    </w:p>
    <w:p>
      <w:pPr>
        <w:numPr>
          <w:ilvl w:val="0"/>
          <w:numId w:val="1082"/>
        </w:numPr>
        <w:pStyle w:val="Compact"/>
      </w:pPr>
      <w:r>
        <w:t xml:space="preserve">صلاحيات عرض متدرجة بحسب دور المستخدم</w:t>
      </w:r>
    </w:p>
    <w:p>
      <w:pPr>
        <w:pStyle w:val="Heading3"/>
      </w:pPr>
      <w:bookmarkStart w:id="203" w:name="Xea26f87471b37029c4b976e275f81da80e1295c"/>
      <w:r>
        <w:t xml:space="preserve">مؤشرات الأداء الرئيسية — لوحة الإدارة المالية</w:t>
      </w:r>
      <w:bookmarkEnd w:id="203"/>
    </w:p>
    <w:p>
      <w:pPr>
        <w:pStyle w:val="FirstParagraph"/>
      </w:pPr>
      <w:r>
        <w:t xml:space="preserve">مؤشرات محدَّثة لحظياً تظهر للإدارة عند الدخول إلى النظام</w:t>
      </w:r>
    </w:p>
    <w:p>
      <w:pPr>
        <w:pStyle w:val="BodyText"/>
      </w:pPr>
      <w:r>
        <w:t xml:space="preserve">KWD</w:t>
      </w:r>
    </w:p>
    <w:p>
      <w:pPr>
        <w:pStyle w:val="BodyText"/>
      </w:pPr>
      <w:r>
        <w:t xml:space="preserve">صافي ربح المشروع</w:t>
      </w:r>
    </w:p>
    <w:p>
      <w:pPr>
        <w:pStyle w:val="BodyText"/>
      </w:pPr>
      <w:r>
        <w:t xml:space="preserve">لكل مشروع على حدة</w:t>
      </w:r>
    </w:p>
    <w:p>
      <w:pPr>
        <w:pStyle w:val="BodyText"/>
      </w:pPr>
      <w:r>
        <w:t xml:space="preserve">هامش الربح لكل مشروع</w:t>
      </w:r>
    </w:p>
    <w:p>
      <w:pPr>
        <w:pStyle w:val="BodyText"/>
      </w:pPr>
      <w:r>
        <w:t xml:space="preserve">الإيراد مقابل التكلفة</w:t>
      </w:r>
    </w:p>
    <w:p>
      <w:pPr>
        <w:pStyle w:val="BodyText"/>
      </w:pPr>
      <w:r>
        <w:t xml:space="preserve">KWD</w:t>
      </w:r>
    </w:p>
    <w:p>
      <w:pPr>
        <w:pStyle w:val="BodyText"/>
      </w:pPr>
      <w:r>
        <w:t xml:space="preserve">الشيكات تحت التحصيل</w:t>
      </w:r>
    </w:p>
    <w:p>
      <w:pPr>
        <w:pStyle w:val="BodyText"/>
      </w:pPr>
      <w:r>
        <w:t xml:space="preserve">مع قيمة الشيكات المرتدة</w:t>
      </w:r>
    </w:p>
    <w:p>
      <w:pPr>
        <w:pStyle w:val="BodyText"/>
      </w:pPr>
      <w:r>
        <w:t xml:space="preserve">نسبة التحصيل</w:t>
      </w:r>
    </w:p>
    <w:p>
      <w:pPr>
        <w:pStyle w:val="BodyText"/>
      </w:pPr>
      <w:r>
        <w:t xml:space="preserve">مع متوسط عمر الذمم بالأيام</w:t>
      </w:r>
    </w:p>
    <w:p>
      <w:pPr>
        <w:pStyle w:val="BodyText"/>
      </w:pPr>
      <w:r>
        <w:t xml:space="preserve">KWD</w:t>
      </w:r>
    </w:p>
    <w:p>
      <w:pPr>
        <w:pStyle w:val="BodyText"/>
      </w:pPr>
      <w:r>
        <w:t xml:space="preserve">أرصدة البنوك الأربعة</w:t>
      </w:r>
    </w:p>
    <w:p>
      <w:pPr>
        <w:pStyle w:val="BodyText"/>
      </w:pPr>
      <w:r>
        <w:t xml:space="preserve">والتدفق النقدي المتوقع</w:t>
      </w:r>
    </w:p>
    <w:p>
      <w:pPr>
        <w:pStyle w:val="BodyText"/>
      </w:pPr>
      <w:r>
        <w:t xml:space="preserve">ملاحظة على التقارير</w:t>
      </w:r>
    </w:p>
    <w:p>
      <w:pPr>
        <w:pStyle w:val="BodyText"/>
      </w:pPr>
      <w:r>
        <w:t xml:space="preserve">كل رقم في التقارير قابل للنقر للنزول إلى تفاصيله حتى المستند الأصلي، وكل تقرير قابل للتصدير إلى Excel و PDF ، مع جدولة إرسال التقارير الدورية إلى الإدارة تلقائياً.</w:t>
      </w:r>
    </w:p>
    <w:p>
      <w:pPr>
        <w:pStyle w:val="BodyText"/>
      </w:pPr>
      <w:r>
        <w:t xml:space="preserve">المحاسبة — الصفحة</w:t>
      </w:r>
    </w:p>
    <w:p>
      <w:pPr>
        <w:pStyle w:val="BodyText"/>
      </w:pPr>
      <w:r>
        <w:t xml:space="preserve">وحدة المحاسبة والشؤون المالية</w:t>
      </w:r>
    </w:p>
    <w:p>
      <w:pPr>
        <w:pStyle w:val="Heading3"/>
      </w:pPr>
      <w:bookmarkStart w:id="204" w:name="القيمة-المضافة-والتكامل-4"/>
      <w:r>
        <w:t xml:space="preserve">القيمة المضافة والتكامل</w:t>
      </w:r>
      <w:bookmarkEnd w:id="204"/>
    </w:p>
    <w:p>
      <w:pPr>
        <w:pStyle w:val="FirstParagraph"/>
      </w:pPr>
      <w:r>
        <w:t xml:space="preserve">وحدة المحاسبة ليست جزيرة منفصلة: المبيعات والمستخلصات تغذّي الإيراد، والمشتريات والمخازن تغذّي التكلفة، والتحصيلات والشيكات تغذّي السيولة — وكلها تصعد إلى لوحات المعلومات وتقارير الإدارة.</w:t>
      </w:r>
    </w:p>
    <w:p>
      <w:pPr>
        <w:pStyle w:val="Heading3"/>
      </w:pPr>
      <w:bookmarkStart w:id="205" w:name="تكامل-الوحدات"/>
      <w:r>
        <w:t xml:space="preserve">تكامل الوحدات</w:t>
      </w:r>
      <w:bookmarkEnd w:id="205"/>
    </w:p>
    <w:p>
      <w:pPr>
        <w:pStyle w:val="FirstParagraph"/>
      </w:pPr>
      <w:r>
        <w:t xml:space="preserve">منظومة واحدة بلا إدخال مزدوج</w:t>
      </w:r>
    </w:p>
    <w:p>
      <w:pPr>
        <w:pStyle w:val="BodyText"/>
      </w:pPr>
      <w:r>
        <w:t xml:space="preserve">كل مستند تشغيلي يولّد أثره المحاسبي تلقائياً وموسوماً بمشروعه، فلا يُدخل الرقم مرتين ولا يختلف تقرير عن آخر.</w:t>
      </w:r>
    </w:p>
    <w:p>
      <w:pPr>
        <w:numPr>
          <w:ilvl w:val="0"/>
          <w:numId w:val="1083"/>
        </w:numPr>
        <w:pStyle w:val="Compact"/>
      </w:pPr>
      <w:r>
        <w:t xml:space="preserve">المبيعات والمستخلصات: إيراد معتمد على مركز تكلفة المشروع</w:t>
      </w:r>
    </w:p>
    <w:p>
      <w:pPr>
        <w:numPr>
          <w:ilvl w:val="0"/>
          <w:numId w:val="1083"/>
        </w:numPr>
        <w:pStyle w:val="Compact"/>
      </w:pPr>
      <w:r>
        <w:t xml:space="preserve">المشتريات والمخازن: تكلفة مواد محمَّلة على الموقع المستهلك</w:t>
      </w:r>
    </w:p>
    <w:p>
      <w:pPr>
        <w:numPr>
          <w:ilvl w:val="0"/>
          <w:numId w:val="1083"/>
        </w:numPr>
        <w:pStyle w:val="Compact"/>
      </w:pPr>
      <w:r>
        <w:t xml:space="preserve">المشاريع: نسب الإنجاز مقابل التكلفة الفعلية</w:t>
      </w:r>
    </w:p>
    <w:p>
      <w:pPr>
        <w:numPr>
          <w:ilvl w:val="0"/>
          <w:numId w:val="1083"/>
        </w:numPr>
        <w:pStyle w:val="Compact"/>
      </w:pPr>
      <w:r>
        <w:t xml:space="preserve">الموارد البشرية: رواتب وأجور العمالة على مشاريعها</w:t>
      </w:r>
    </w:p>
    <w:p>
      <w:pPr>
        <w:numPr>
          <w:ilvl w:val="0"/>
          <w:numId w:val="1083"/>
        </w:numPr>
        <w:pStyle w:val="Compact"/>
      </w:pPr>
      <w:r>
        <w:t xml:space="preserve">لوحات المعلومات: مؤشرات مالية مباشرة للإدارة</w:t>
      </w:r>
    </w:p>
    <w:p>
      <w:pPr>
        <w:pStyle w:val="Heading3"/>
      </w:pPr>
      <w:bookmarkStart w:id="206" w:name="الرقابة-الداخلية-والصلاحيات"/>
      <w:r>
        <w:t xml:space="preserve">الرقابة الداخلية والصلاحيات</w:t>
      </w:r>
      <w:bookmarkEnd w:id="206"/>
    </w:p>
    <w:p>
      <w:pPr>
        <w:pStyle w:val="FirstParagraph"/>
      </w:pPr>
      <w:r>
        <w:t xml:space="preserve">من يرى ماذا ومن يعتمد ماذا</w:t>
      </w:r>
    </w:p>
    <w:p>
      <w:pPr>
        <w:pStyle w:val="BodyText"/>
      </w:pPr>
      <w:r>
        <w:t xml:space="preserve">المال يحتاج ضبطاً لا شاشات فقط: صلاحيات دقيقة، اعتمادات متدرجة، وسجل تدقيق لا يمكن تعديله يحفظ كل حركة بصاحبها وتاريخها.</w:t>
      </w:r>
    </w:p>
    <w:p>
      <w:pPr>
        <w:numPr>
          <w:ilvl w:val="0"/>
          <w:numId w:val="1084"/>
        </w:numPr>
        <w:pStyle w:val="Compact"/>
      </w:pPr>
      <w:r>
        <w:t xml:space="preserve">صلاحيات على مستوى المشروع والبنك ونوع المستند</w:t>
      </w:r>
    </w:p>
    <w:p>
      <w:pPr>
        <w:numPr>
          <w:ilvl w:val="0"/>
          <w:numId w:val="1084"/>
        </w:numPr>
        <w:pStyle w:val="Compact"/>
      </w:pPr>
      <w:r>
        <w:t xml:space="preserve">اعتماد إلزامي قبل الصرف وقبل إصدار الشيكات</w:t>
      </w:r>
    </w:p>
    <w:p>
      <w:pPr>
        <w:numPr>
          <w:ilvl w:val="0"/>
          <w:numId w:val="1084"/>
        </w:numPr>
        <w:pStyle w:val="Compact"/>
      </w:pPr>
      <w:r>
        <w:t xml:space="preserve">سجل تدقيق كامل لكل قيد وكل تغيير حالة شيك</w:t>
      </w:r>
    </w:p>
    <w:p>
      <w:pPr>
        <w:numPr>
          <w:ilvl w:val="0"/>
          <w:numId w:val="1084"/>
        </w:numPr>
        <w:pStyle w:val="Compact"/>
      </w:pPr>
      <w:r>
        <w:t xml:space="preserve">إقفال الفترات المحاسبية لمنع التعديل بأثر رجعي</w:t>
      </w:r>
    </w:p>
    <w:p>
      <w:pPr>
        <w:numPr>
          <w:ilvl w:val="0"/>
          <w:numId w:val="1084"/>
        </w:numPr>
        <w:pStyle w:val="Compact"/>
      </w:pPr>
      <w:r>
        <w:t xml:space="preserve">فصل مهام التسجيل عن مهام الاعتماد والتحصيل</w:t>
      </w:r>
    </w:p>
    <w:p>
      <w:pPr>
        <w:pStyle w:val="Heading3"/>
      </w:pPr>
      <w:bookmarkStart w:id="207" w:name="الوصول-والاعتماد-من-الهاتف"/>
      <w:r>
        <w:t xml:space="preserve">الوصول والاعتماد من الهاتف</w:t>
      </w:r>
      <w:bookmarkEnd w:id="207"/>
    </w:p>
    <w:p>
      <w:pPr>
        <w:pStyle w:val="FirstParagraph"/>
      </w:pPr>
      <w:r>
        <w:t xml:space="preserve">الإدارة لا تنتظر العودة إلى المكتب</w:t>
      </w:r>
    </w:p>
    <w:p>
      <w:pPr>
        <w:pStyle w:val="BodyText"/>
      </w:pPr>
      <w:r>
        <w:t xml:space="preserve">النظام سحابي على Odoo.sh ، ويُفتح من الموقع أو من الهاتف بالسرعة نفسها ومع النسخ الاحتياطي الدوري.</w:t>
      </w:r>
    </w:p>
    <w:p>
      <w:pPr>
        <w:numPr>
          <w:ilvl w:val="0"/>
          <w:numId w:val="1085"/>
        </w:numPr>
        <w:pStyle w:val="Compact"/>
      </w:pPr>
      <w:r>
        <w:t xml:space="preserve">اعتماد المصروفات والشيكات الصادرة من الهاتف</w:t>
      </w:r>
    </w:p>
    <w:p>
      <w:pPr>
        <w:numPr>
          <w:ilvl w:val="0"/>
          <w:numId w:val="1085"/>
        </w:numPr>
        <w:pStyle w:val="Compact"/>
      </w:pPr>
      <w:r>
        <w:t xml:space="preserve">عرض أرصدة البنوك ومؤشرات المشاريع في أي وقت</w:t>
      </w:r>
    </w:p>
    <w:p>
      <w:pPr>
        <w:numPr>
          <w:ilvl w:val="0"/>
          <w:numId w:val="1085"/>
        </w:numPr>
        <w:pStyle w:val="Compact"/>
      </w:pPr>
      <w:r>
        <w:t xml:space="preserve">تصوير مستند المصروف وإرفاقه من الموقع مباشرة</w:t>
      </w:r>
    </w:p>
    <w:p>
      <w:pPr>
        <w:numPr>
          <w:ilvl w:val="0"/>
          <w:numId w:val="1085"/>
        </w:numPr>
        <w:pStyle w:val="Compact"/>
      </w:pPr>
      <w:r>
        <w:t xml:space="preserve">تنبيهات استحقاق الشيكات تصل للمسؤول فور صدورها</w:t>
      </w:r>
    </w:p>
    <w:p>
      <w:pPr>
        <w:numPr>
          <w:ilvl w:val="0"/>
          <w:numId w:val="1085"/>
        </w:numPr>
        <w:pStyle w:val="Compact"/>
      </w:pPr>
      <w:r>
        <w:t xml:space="preserve">نسخ احتياطي دوري وحماية للبيانات على السحابة</w:t>
      </w:r>
    </w:p>
    <w:p>
      <w:pPr>
        <w:pStyle w:val="Heading3"/>
      </w:pPr>
      <w:bookmarkStart w:id="208" w:name="تخصيص-لقطاع-المقاولات-1"/>
      <w:r>
        <w:t xml:space="preserve">تخصيص لقطاع المقاولات</w:t>
      </w:r>
      <w:bookmarkEnd w:id="208"/>
    </w:p>
    <w:p>
      <w:pPr>
        <w:pStyle w:val="FirstParagraph"/>
      </w:pPr>
      <w:r>
        <w:t xml:space="preserve">مبني على واقع السوق الكويتي</w:t>
      </w:r>
    </w:p>
    <w:p>
      <w:pPr>
        <w:pStyle w:val="BodyText"/>
      </w:pPr>
      <w:r>
        <w:t xml:space="preserve">تقوم شركة ديكسور للحلول المتكاملة الحاسوبية ذ.م.م. بضبط الوحدة على دورة عمل شركة لؤلؤة الشايع نفسها لا على نموذج محاسبي عام.</w:t>
      </w:r>
    </w:p>
    <w:p>
      <w:pPr>
        <w:numPr>
          <w:ilvl w:val="0"/>
          <w:numId w:val="1086"/>
        </w:numPr>
        <w:pStyle w:val="Compact"/>
      </w:pPr>
      <w:r>
        <w:t xml:space="preserve">المناقصات الحكومية ومتابعتها مالياً حتى الترسية</w:t>
      </w:r>
    </w:p>
    <w:p>
      <w:pPr>
        <w:numPr>
          <w:ilvl w:val="0"/>
          <w:numId w:val="1086"/>
        </w:numPr>
        <w:pStyle w:val="Compact"/>
      </w:pPr>
      <w:r>
        <w:t xml:space="preserve">الدفعة المقدمة واستردادها من المستخلصات تدريجياً</w:t>
      </w:r>
    </w:p>
    <w:p>
      <w:pPr>
        <w:numPr>
          <w:ilvl w:val="0"/>
          <w:numId w:val="1086"/>
        </w:numPr>
        <w:pStyle w:val="Compact"/>
      </w:pPr>
      <w:r>
        <w:t xml:space="preserve">المحتجزات وضمانات حسن التنفيذ وتواريخ الإفراج</w:t>
      </w:r>
    </w:p>
    <w:p>
      <w:pPr>
        <w:numPr>
          <w:ilvl w:val="0"/>
          <w:numId w:val="1086"/>
        </w:numPr>
        <w:pStyle w:val="Compact"/>
      </w:pPr>
      <w:r>
        <w:t xml:space="preserve">مستخلصات مقاولي الباطن وخصم المستحقات منها</w:t>
      </w:r>
    </w:p>
    <w:p>
      <w:pPr>
        <w:numPr>
          <w:ilvl w:val="0"/>
          <w:numId w:val="1086"/>
        </w:numPr>
        <w:pStyle w:val="Compact"/>
      </w:pPr>
      <w:r>
        <w:t xml:space="preserve">واجهة وتقارير باللغة العربية مع دعم ثنائي اللغة</w:t>
      </w:r>
    </w:p>
    <w:p>
      <w:pPr>
        <w:pStyle w:val="Heading3"/>
      </w:pPr>
      <w:bookmarkStart w:id="209" w:name="Xed01f98ac4f24f924316e3f7d1f34b8c91eb7f9"/>
      <w:r>
        <w:t xml:space="preserve">المحاسبة مركز المنظومة — كيف تصل الأرقام من الموقع إلى الإدارة</w:t>
      </w:r>
      <w:bookmarkEnd w:id="209"/>
    </w:p>
    <w:p>
      <w:pPr>
        <w:pStyle w:val="FirstParagraph"/>
      </w:pPr>
      <w:r>
        <w:t xml:space="preserve">يُقرأ المسار من اليمين إلى اليسار: من مستند الموقع حتى تقرير مجلس الإدارة</w:t>
      </w:r>
    </w:p>
    <w:p>
      <w:pPr>
        <w:pStyle w:val="BodyText"/>
      </w:pPr>
      <w:r>
        <w:t xml:space="preserve">المبيعات والمستخلصات</w:t>
      </w:r>
    </w:p>
    <w:p>
      <w:pPr>
        <w:pStyle w:val="BodyText"/>
      </w:pPr>
      <w:r>
        <w:t xml:space="preserve">إيراد معتمد يُقيَّد على المشروع</w:t>
      </w:r>
    </w:p>
    <w:p>
      <w:pPr>
        <w:pStyle w:val="BodyText"/>
      </w:pPr>
      <w:r>
        <w:t xml:space="preserve">المشتريات والمخازن</w:t>
      </w:r>
    </w:p>
    <w:p>
      <w:pPr>
        <w:pStyle w:val="BodyText"/>
      </w:pPr>
      <w:r>
        <w:t xml:space="preserve">تكلفة المواد على الموقع المستهلك</w:t>
      </w:r>
    </w:p>
    <w:p>
      <w:pPr>
        <w:pStyle w:val="BodyText"/>
      </w:pPr>
      <w:r>
        <w:t xml:space="preserve">العمالة والمعدات</w:t>
      </w:r>
    </w:p>
    <w:p>
      <w:pPr>
        <w:pStyle w:val="BodyText"/>
      </w:pPr>
      <w:r>
        <w:t xml:space="preserve">أجور وباطن وإهلاك محمَّل مباشرة</w:t>
      </w:r>
    </w:p>
    <w:p>
      <w:pPr>
        <w:pStyle w:val="BodyText"/>
      </w:pPr>
      <w:r>
        <w:t xml:space="preserve">الشيكات والبنوك</w:t>
      </w:r>
    </w:p>
    <w:p>
      <w:pPr>
        <w:pStyle w:val="BodyText"/>
      </w:pPr>
      <w:r>
        <w:t xml:space="preserve">التحصيل يغذّي السيولة والبنوك الأربعة</w:t>
      </w:r>
    </w:p>
    <w:p>
      <w:pPr>
        <w:pStyle w:val="BodyText"/>
      </w:pPr>
      <w:r>
        <w:t xml:space="preserve">لوحات المعلومات</w:t>
      </w:r>
    </w:p>
    <w:p>
      <w:pPr>
        <w:pStyle w:val="BodyText"/>
      </w:pPr>
      <w:r>
        <w:t xml:space="preserve">ربحية المشاريع وتقارير الإدارة</w:t>
      </w:r>
    </w:p>
    <w:p>
      <w:pPr>
        <w:pStyle w:val="BodyText"/>
      </w:pPr>
      <w:r>
        <w:t xml:space="preserve">DEXOR — Systems with Souls</w:t>
      </w:r>
    </w:p>
    <w:p>
      <w:pPr>
        <w:pStyle w:val="BodyText"/>
      </w:pPr>
      <w:r>
        <w:t xml:space="preserve">هذا العرض مُعدّ خصيصاً لشركة لؤلؤة الشايع للمقاولات العامة والإنشاءات في دولة الكويت. تُضبط دورات العمل والحقول والتقارير على واقع الشركة، ويشمل العرض 12 شهراً من الدعم الفني بعد التشغيل.</w:t>
      </w:r>
    </w:p>
    <w:p>
      <w:pPr>
        <w:pStyle w:val="BodyText"/>
      </w:pPr>
      <w:r>
        <w:t xml:space="preserve">المحاسبة — الصفحة</w:t>
      </w:r>
    </w:p>
    <w:p>
      <w:pPr>
        <w:pStyle w:val="Heading2"/>
      </w:pPr>
      <w:bookmarkStart w:id="210" w:name="X61935ffdf4ce339ccca7edf9b63f01879956b1d"/>
      <w:r>
        <w:t xml:space="preserve">وحدة التحليلات ولوحات المعلومات (Analytics &amp; Dashboards)</w:t>
      </w:r>
      <w:bookmarkEnd w:id="210"/>
    </w:p>
    <w:p>
      <w:pPr>
        <w:pStyle w:val="FirstParagraph"/>
      </w:pPr>
      <w:r>
        <w:t xml:space="preserve">وحدة التحليلات ولوحات المعلومات</w:t>
      </w:r>
    </w:p>
    <w:p>
      <w:pPr>
        <w:pStyle w:val="Heading3"/>
      </w:pPr>
      <w:bookmarkStart w:id="211" w:name="نظرة-عامة-على-التحليلات-ولوحات-المعلومات"/>
      <w:r>
        <w:t xml:space="preserve">نظرة عامة على التحليلات ولوحات المعلومات</w:t>
      </w:r>
      <w:bookmarkEnd w:id="211"/>
    </w:p>
    <w:p>
      <w:pPr>
        <w:pStyle w:val="FirstParagraph"/>
      </w:pPr>
      <w:r>
        <w:t xml:space="preserve">وحدة التحليلات ولوحات المعلومات (Analytics &amp; Dashboards) هي المكان الذي يرى فيه صاحب الشركة أعماله كاملة في شاشة واحدة: لوحة مجمَّعة على مستوى الشركة، ولوحة مستقلة لكل مشروع، مبنية على البيانات نفسها التي تُسجَّل يومياً في المواقع والمخازن والحسابات.</w:t>
      </w:r>
    </w:p>
    <w:p>
      <w:pPr>
        <w:pStyle w:val="Heading3"/>
      </w:pPr>
      <w:bookmarkStart w:id="212" w:name="المبدأ-رؤية-على-مستويين"/>
      <w:r>
        <w:t xml:space="preserve">المبدأ — رؤية على مستويين</w:t>
      </w:r>
      <w:bookmarkEnd w:id="212"/>
    </w:p>
    <w:p>
      <w:pPr>
        <w:pStyle w:val="FirstParagraph"/>
      </w:pPr>
      <w:r>
        <w:t xml:space="preserve">مستوى الشركة ومستوى المشروع</w:t>
      </w:r>
    </w:p>
    <w:p>
      <w:pPr>
        <w:pStyle w:val="BodyText"/>
      </w:pPr>
      <w:r>
        <w:t xml:space="preserve">كل مشروع في لؤلؤة الشايع مركز تكلفة مستقل بدفاتره، وفي الوقت نفسه جزء من الصورة المجمَّعة للشركة. اللوحات تعرض المستويين معاً دون أي إدخال إضافي.</w:t>
      </w:r>
    </w:p>
    <w:p>
      <w:pPr>
        <w:numPr>
          <w:ilvl w:val="0"/>
          <w:numId w:val="1087"/>
        </w:numPr>
        <w:pStyle w:val="Compact"/>
      </w:pPr>
      <w:r>
        <w:t xml:space="preserve">لوحة مجمَّعة واحدة تختصر وضع الشركة كاملاً</w:t>
      </w:r>
    </w:p>
    <w:p>
      <w:pPr>
        <w:numPr>
          <w:ilvl w:val="0"/>
          <w:numId w:val="1087"/>
        </w:numPr>
        <w:pStyle w:val="Compact"/>
      </w:pPr>
      <w:r>
        <w:t xml:space="preserve">لوحة مستقلة لكل مشروع أو موقع تنفيذ</w:t>
      </w:r>
    </w:p>
    <w:p>
      <w:pPr>
        <w:numPr>
          <w:ilvl w:val="0"/>
          <w:numId w:val="1087"/>
        </w:numPr>
        <w:pStyle w:val="Compact"/>
      </w:pPr>
      <w:r>
        <w:t xml:space="preserve">مقارنة المشاريع جنباً إلى جنب في شاشة واحدة</w:t>
      </w:r>
    </w:p>
    <w:p>
      <w:pPr>
        <w:numPr>
          <w:ilvl w:val="0"/>
          <w:numId w:val="1087"/>
        </w:numPr>
        <w:pStyle w:val="Compact"/>
      </w:pPr>
      <w:r>
        <w:t xml:space="preserve">الأرقام محدَّثة لحظياً مع كل مستند يُعتمد</w:t>
      </w:r>
    </w:p>
    <w:p>
      <w:pPr>
        <w:numPr>
          <w:ilvl w:val="0"/>
          <w:numId w:val="1087"/>
        </w:numPr>
        <w:pStyle w:val="Compact"/>
      </w:pPr>
      <w:r>
        <w:t xml:space="preserve">لا توجد جداول خارجية ولا إدخال مزدوج</w:t>
      </w:r>
    </w:p>
    <w:p>
      <w:pPr>
        <w:pStyle w:val="Heading3"/>
      </w:pPr>
      <w:bookmarkStart w:id="213" w:name="لوحة-الإدارة-العليا"/>
      <w:r>
        <w:t xml:space="preserve">لوحة الإدارة العليا</w:t>
      </w:r>
      <w:bookmarkEnd w:id="213"/>
    </w:p>
    <w:p>
      <w:pPr>
        <w:pStyle w:val="FirstParagraph"/>
      </w:pPr>
      <w:r>
        <w:t xml:space="preserve">الشاشة الأولى عند الدخول</w:t>
      </w:r>
    </w:p>
    <w:p>
      <w:pPr>
        <w:pStyle w:val="BodyText"/>
      </w:pPr>
      <w:r>
        <w:t xml:space="preserve">شاشة واحدة تجيب على أسئلة الإدارة قبل أي اجتماع: كم دخلنا، كم صرفنا، كم ربحنا، وكم بقي لنا عند العملاء.</w:t>
      </w:r>
    </w:p>
    <w:p>
      <w:pPr>
        <w:numPr>
          <w:ilvl w:val="0"/>
          <w:numId w:val="1088"/>
        </w:numPr>
        <w:pStyle w:val="Compact"/>
      </w:pPr>
      <w:r>
        <w:t xml:space="preserve">إجمالي الإيرادات والتكاليف وصافي الربح</w:t>
      </w:r>
    </w:p>
    <w:p>
      <w:pPr>
        <w:numPr>
          <w:ilvl w:val="0"/>
          <w:numId w:val="1088"/>
        </w:numPr>
        <w:pStyle w:val="Compact"/>
      </w:pPr>
      <w:r>
        <w:t xml:space="preserve">عدد المشاريع الجارية وقيمة العقود القائمة</w:t>
      </w:r>
    </w:p>
    <w:p>
      <w:pPr>
        <w:numPr>
          <w:ilvl w:val="0"/>
          <w:numId w:val="1088"/>
        </w:numPr>
        <w:pStyle w:val="Compact"/>
      </w:pPr>
      <w:r>
        <w:t xml:space="preserve">المفوتر مقابل المحصَّل والفارق بينهما</w:t>
      </w:r>
    </w:p>
    <w:p>
      <w:pPr>
        <w:numPr>
          <w:ilvl w:val="0"/>
          <w:numId w:val="1088"/>
        </w:numPr>
        <w:pStyle w:val="Compact"/>
      </w:pPr>
      <w:r>
        <w:t xml:space="preserve">أرصدة البنوك الأربعة كلٌّ على حدة</w:t>
      </w:r>
    </w:p>
    <w:p>
      <w:pPr>
        <w:numPr>
          <w:ilvl w:val="0"/>
          <w:numId w:val="1088"/>
        </w:numPr>
        <w:pStyle w:val="Compact"/>
      </w:pPr>
      <w:r>
        <w:t xml:space="preserve">السيولة المتوقعة خلال الأسابيع القادمة</w:t>
      </w:r>
    </w:p>
    <w:p>
      <w:pPr>
        <w:pStyle w:val="Heading3"/>
      </w:pPr>
      <w:bookmarkStart w:id="214" w:name="من-الرقم-إلى-المستند"/>
      <w:r>
        <w:t xml:space="preserve">من الرقم إلى المستند</w:t>
      </w:r>
      <w:bookmarkEnd w:id="214"/>
    </w:p>
    <w:p>
      <w:pPr>
        <w:pStyle w:val="FirstParagraph"/>
      </w:pPr>
      <w:r>
        <w:t xml:space="preserve">التنقل إلى التفاصيل (Drill-down)</w:t>
      </w:r>
    </w:p>
    <w:p>
      <w:pPr>
        <w:pStyle w:val="BodyText"/>
      </w:pPr>
      <w:r>
        <w:t xml:space="preserve">أي رقم على اللوحة قابل للفتح: من الإجمالي المجمَّع إلى تفصيل المشروع، ثم إلى المستند الذي كوَّن الرقم — فاتورة أو شيك أو أمر شراء.</w:t>
      </w:r>
    </w:p>
    <w:p>
      <w:pPr>
        <w:numPr>
          <w:ilvl w:val="0"/>
          <w:numId w:val="1089"/>
        </w:numPr>
        <w:pStyle w:val="Compact"/>
      </w:pPr>
      <w:r>
        <w:t xml:space="preserve">ثلاث مستويات: الشركة ← المشروع ← المستند</w:t>
      </w:r>
    </w:p>
    <w:p>
      <w:pPr>
        <w:numPr>
          <w:ilvl w:val="0"/>
          <w:numId w:val="1089"/>
        </w:numPr>
        <w:pStyle w:val="Compact"/>
      </w:pPr>
      <w:r>
        <w:t xml:space="preserve">تفسير كامل لكل رقم دون طلبه من المحاسب</w:t>
      </w:r>
    </w:p>
    <w:p>
      <w:pPr>
        <w:numPr>
          <w:ilvl w:val="0"/>
          <w:numId w:val="1089"/>
        </w:numPr>
        <w:pStyle w:val="Compact"/>
      </w:pPr>
      <w:r>
        <w:t xml:space="preserve">تصفية فورية بالمشروع أو العميل أو الفترة</w:t>
      </w:r>
    </w:p>
    <w:p>
      <w:pPr>
        <w:numPr>
          <w:ilvl w:val="0"/>
          <w:numId w:val="1089"/>
        </w:numPr>
        <w:pStyle w:val="Compact"/>
      </w:pPr>
      <w:r>
        <w:t xml:space="preserve">حفظ الشاشات المفلترة كتقارير جاهزة</w:t>
      </w:r>
    </w:p>
    <w:p>
      <w:pPr>
        <w:numPr>
          <w:ilvl w:val="0"/>
          <w:numId w:val="1089"/>
        </w:numPr>
        <w:pStyle w:val="Compact"/>
      </w:pPr>
      <w:r>
        <w:t xml:space="preserve">سجل من قام بالتسجيل ومتى ومن اعتمده</w:t>
      </w:r>
    </w:p>
    <w:p>
      <w:pPr>
        <w:pStyle w:val="Heading3"/>
      </w:pPr>
      <w:bookmarkStart w:id="215" w:name="التنبيهات-الاستباقية"/>
      <w:r>
        <w:t xml:space="preserve">التنبيهات الاستباقية</w:t>
      </w:r>
      <w:bookmarkEnd w:id="215"/>
    </w:p>
    <w:p>
      <w:pPr>
        <w:pStyle w:val="FirstParagraph"/>
      </w:pPr>
      <w:r>
        <w:t xml:space="preserve">الخبر قبل أن يتحول إلى خسارة</w:t>
      </w:r>
    </w:p>
    <w:p>
      <w:pPr>
        <w:pStyle w:val="BodyText"/>
      </w:pPr>
      <w:r>
        <w:t xml:space="preserve">اللوحة لا تنتظر أن يسأل المدير؛ بل ترفع التنبيه إليه عند تجاوز حد متفق عليه، على الشاشة وعلى البريد.</w:t>
      </w:r>
    </w:p>
    <w:p>
      <w:pPr>
        <w:numPr>
          <w:ilvl w:val="0"/>
          <w:numId w:val="1090"/>
        </w:numPr>
        <w:pStyle w:val="Compact"/>
      </w:pPr>
      <w:r>
        <w:t xml:space="preserve">تجاوز موازنة بند في أحد المشاريع</w:t>
      </w:r>
    </w:p>
    <w:p>
      <w:pPr>
        <w:numPr>
          <w:ilvl w:val="0"/>
          <w:numId w:val="1090"/>
        </w:numPr>
        <w:pStyle w:val="Compact"/>
      </w:pPr>
      <w:r>
        <w:t xml:space="preserve">شيك يستحق خلال أيام أو شيك مرتد</w:t>
      </w:r>
    </w:p>
    <w:p>
      <w:pPr>
        <w:numPr>
          <w:ilvl w:val="0"/>
          <w:numId w:val="1090"/>
        </w:numPr>
        <w:pStyle w:val="Compact"/>
      </w:pPr>
      <w:r>
        <w:t xml:space="preserve">ذمة مدينة تجاوزت عمرها المسموح</w:t>
      </w:r>
    </w:p>
    <w:p>
      <w:pPr>
        <w:numPr>
          <w:ilvl w:val="0"/>
          <w:numId w:val="1090"/>
        </w:numPr>
        <w:pStyle w:val="Compact"/>
      </w:pPr>
      <w:r>
        <w:t xml:space="preserve">مشروع هامشه أقل من الحد المستهدف</w:t>
      </w:r>
    </w:p>
    <w:p>
      <w:pPr>
        <w:numPr>
          <w:ilvl w:val="0"/>
          <w:numId w:val="1090"/>
        </w:numPr>
        <w:pStyle w:val="Compact"/>
      </w:pPr>
      <w:r>
        <w:t xml:space="preserve">رصيد بنك اقترب من الحد الأدنى</w:t>
      </w:r>
    </w:p>
    <w:p>
      <w:pPr>
        <w:pStyle w:val="Heading3"/>
      </w:pPr>
      <w:bookmarkStart w:id="216" w:name="X910b72cead81bf2b39c11171321cf5aef854b47"/>
      <w:r>
        <w:t xml:space="preserve">من حركة في الموقع إلى رقم على شاشة الإدارة</w:t>
      </w:r>
      <w:bookmarkEnd w:id="216"/>
    </w:p>
    <w:p>
      <w:pPr>
        <w:pStyle w:val="FirstParagraph"/>
      </w:pPr>
      <w:r>
        <w:t xml:space="preserve">ثماني خطوات تتم تلقائياً دون تدخل يدوي — تُقرأ من اليمين إلى اليسار</w:t>
      </w:r>
    </w:p>
    <w:p>
      <w:pPr>
        <w:pStyle w:val="BodyText"/>
      </w:pPr>
      <w:r>
        <w:t xml:space="preserve">حركة تشغيلية</w:t>
      </w:r>
    </w:p>
    <w:p>
      <w:pPr>
        <w:pStyle w:val="BodyText"/>
      </w:pPr>
      <w:r>
        <w:t xml:space="preserve">صرف مواد أو ساعة معدة</w:t>
      </w:r>
    </w:p>
    <w:p>
      <w:pPr>
        <w:pStyle w:val="BodyText"/>
      </w:pPr>
      <w:r>
        <w:t xml:space="preserve">ربط بالمشروع</w:t>
      </w:r>
    </w:p>
    <w:p>
      <w:pPr>
        <w:pStyle w:val="BodyText"/>
      </w:pPr>
      <w:r>
        <w:t xml:space="preserve">حساب تحليلي إجباري</w:t>
      </w:r>
    </w:p>
    <w:p>
      <w:pPr>
        <w:pStyle w:val="BodyText"/>
      </w:pPr>
      <w:r>
        <w:t xml:space="preserve">قيد محاسبي</w:t>
      </w:r>
    </w:p>
    <w:p>
      <w:pPr>
        <w:pStyle w:val="BodyText"/>
      </w:pPr>
      <w:r>
        <w:t xml:space="preserve">يُنشأ تلقائياً</w:t>
      </w:r>
    </w:p>
    <w:p>
      <w:pPr>
        <w:pStyle w:val="BodyText"/>
      </w:pPr>
      <w:r>
        <w:t xml:space="preserve">تجميع البيانات</w:t>
      </w:r>
    </w:p>
    <w:p>
      <w:pPr>
        <w:pStyle w:val="BodyText"/>
      </w:pPr>
      <w:r>
        <w:t xml:space="preserve">حسب المشروع والفترة</w:t>
      </w:r>
    </w:p>
    <w:p>
      <w:pPr>
        <w:pStyle w:val="BodyText"/>
      </w:pPr>
      <w:r>
        <w:t xml:space="preserve">احتساب المؤشر</w:t>
      </w:r>
    </w:p>
    <w:p>
      <w:pPr>
        <w:pStyle w:val="BodyText"/>
      </w:pPr>
      <w:r>
        <w:t xml:space="preserve">هامش وانحراف ونسبة</w:t>
      </w:r>
    </w:p>
    <w:p>
      <w:pPr>
        <w:pStyle w:val="BodyText"/>
      </w:pPr>
      <w:r>
        <w:t xml:space="preserve">لوحة المشروع</w:t>
      </w:r>
    </w:p>
    <w:p>
      <w:pPr>
        <w:pStyle w:val="BodyText"/>
      </w:pPr>
      <w:r>
        <w:t xml:space="preserve">لمهندس الموقع ومديره</w:t>
      </w:r>
    </w:p>
    <w:p>
      <w:pPr>
        <w:pStyle w:val="BodyText"/>
      </w:pPr>
      <w:r>
        <w:t xml:space="preserve">اللوحة المجمَّعة</w:t>
      </w:r>
    </w:p>
    <w:p>
      <w:pPr>
        <w:pStyle w:val="BodyText"/>
      </w:pPr>
      <w:r>
        <w:t xml:space="preserve">للإدارة العليا</w:t>
      </w:r>
    </w:p>
    <w:p>
      <w:pPr>
        <w:pStyle w:val="BodyText"/>
      </w:pPr>
      <w:r>
        <w:t xml:space="preserve">تنبيه وقرار</w:t>
      </w:r>
    </w:p>
    <w:p>
      <w:pPr>
        <w:pStyle w:val="BodyText"/>
      </w:pPr>
      <w:r>
        <w:t xml:space="preserve">إشعار وتصدير مجدول</w:t>
      </w:r>
    </w:p>
    <w:p>
      <w:pPr>
        <w:pStyle w:val="BodyText"/>
      </w:pPr>
      <w:r>
        <w:t xml:space="preserve">ملاحظة التنفيذ</w:t>
      </w:r>
    </w:p>
    <w:p>
      <w:pPr>
        <w:pStyle w:val="BodyText"/>
      </w:pPr>
      <w:r>
        <w:t xml:space="preserve">تُبنى اللوحات على الحسابات التحليلية لكل مشروع، لذلك تُضبط شجرة المشاريع ومراكز التكلفة في الأسبوع الأول من التنفيذ، ثم تصبح كل حركة لاحقة مرتبطة بمشروعها تلقائياً — وهذا شرط دقة كل رقم يظهر لاحقاً على شاشة الإدارة.</w:t>
      </w:r>
    </w:p>
    <w:p>
      <w:pPr>
        <w:pStyle w:val="BodyText"/>
      </w:pPr>
      <w:r>
        <w:t xml:space="preserve">وحدة التحليلات ولوحات المعلومات</w:t>
      </w:r>
    </w:p>
    <w:p>
      <w:pPr>
        <w:pStyle w:val="Heading3"/>
      </w:pPr>
      <w:bookmarkStart w:id="217" w:name="دورة-العمل-مسار-المعلومة-حتى-اللوحة"/>
      <w:r>
        <w:t xml:space="preserve">دورة العمل — مسار المعلومة حتى اللوحة</w:t>
      </w:r>
      <w:bookmarkEnd w:id="217"/>
    </w:p>
    <w:p>
      <w:pPr>
        <w:pStyle w:val="FirstParagraph"/>
      </w:pPr>
      <w:r>
        <w:t xml:space="preserve">لا تُدخل أي بيانات في اللوحات؛ فهي نتيجة لما يُسجَّل في المواقع والمخازن والخزينة. المسار التالي يوضح كيف تتحول الحركة اليومية إلى مؤشر يُتخذ على أساسه قرار.</w:t>
      </w:r>
    </w:p>
    <w:p>
      <w:pPr>
        <w:pStyle w:val="Heading3"/>
      </w:pPr>
      <w:bookmarkStart w:id="218" w:name="المستند-التشغيلي"/>
      <w:r>
        <w:t xml:space="preserve">المستند التشغيلي</w:t>
      </w:r>
      <w:bookmarkEnd w:id="218"/>
    </w:p>
    <w:p>
      <w:pPr>
        <w:pStyle w:val="FirstParagraph"/>
      </w:pPr>
      <w:r>
        <w:t xml:space="preserve">مستخلص، صرف مواد، ساعة معدة، أمر شغل</w:t>
      </w:r>
    </w:p>
    <w:p>
      <w:pPr>
        <w:pStyle w:val="Heading3"/>
      </w:pPr>
      <w:bookmarkStart w:id="219" w:name="الترميز-التحليلي"/>
      <w:r>
        <w:t xml:space="preserve">الترميز التحليلي</w:t>
      </w:r>
      <w:bookmarkEnd w:id="219"/>
    </w:p>
    <w:p>
      <w:pPr>
        <w:pStyle w:val="FirstParagraph"/>
      </w:pPr>
      <w:r>
        <w:t xml:space="preserve">المشروع والبند وبنك الشيك</w:t>
      </w:r>
    </w:p>
    <w:p>
      <w:pPr>
        <w:pStyle w:val="Heading3"/>
      </w:pPr>
      <w:bookmarkStart w:id="220" w:name="القيد-والدفاتر"/>
      <w:r>
        <w:t xml:space="preserve">القيد والدفاتر</w:t>
      </w:r>
      <w:bookmarkEnd w:id="220"/>
    </w:p>
    <w:p>
      <w:pPr>
        <w:pStyle w:val="FirstParagraph"/>
      </w:pPr>
      <w:r>
        <w:t xml:space="preserve">دفتر مستقل لكل مشروع</w:t>
      </w:r>
    </w:p>
    <w:p>
      <w:pPr>
        <w:pStyle w:val="Heading3"/>
      </w:pPr>
      <w:bookmarkStart w:id="221" w:name="قاعدة-التحليل"/>
      <w:r>
        <w:t xml:space="preserve">قاعدة التحليل</w:t>
      </w:r>
      <w:bookmarkEnd w:id="221"/>
    </w:p>
    <w:p>
      <w:pPr>
        <w:pStyle w:val="FirstParagraph"/>
      </w:pPr>
      <w:r>
        <w:t xml:space="preserve">تجميع حسب المشروع والفترة</w:t>
      </w:r>
    </w:p>
    <w:p>
      <w:pPr>
        <w:pStyle w:val="Heading3"/>
      </w:pPr>
      <w:bookmarkStart w:id="222" w:name="اللوحة-والمؤشر"/>
      <w:r>
        <w:t xml:space="preserve">اللوحة والمؤشر</w:t>
      </w:r>
      <w:bookmarkEnd w:id="222"/>
    </w:p>
    <w:p>
      <w:pPr>
        <w:pStyle w:val="FirstParagraph"/>
      </w:pPr>
      <w:r>
        <w:t xml:space="preserve">هامش وتحصيل وسيولة</w:t>
      </w:r>
    </w:p>
    <w:p>
      <w:pPr>
        <w:pStyle w:val="Heading3"/>
      </w:pPr>
      <w:bookmarkStart w:id="223" w:name="القرار-الإداري"/>
      <w:r>
        <w:t xml:space="preserve">القرار الإداري</w:t>
      </w:r>
      <w:bookmarkEnd w:id="223"/>
    </w:p>
    <w:p>
      <w:pPr>
        <w:pStyle w:val="FirstParagraph"/>
      </w:pPr>
      <w:r>
        <w:t xml:space="preserve">تصحيح مبكر قبل الخسارة</w:t>
      </w:r>
    </w:p>
    <w:p>
      <w:pPr>
        <w:pStyle w:val="Heading3"/>
      </w:pPr>
      <w:bookmarkStart w:id="224" w:name="لوحة-ربحية-المشاريع"/>
      <w:r>
        <w:t xml:space="preserve">لوحة ربحية المشاريع</w:t>
      </w:r>
      <w:bookmarkEnd w:id="224"/>
    </w:p>
    <w:p>
      <w:pPr>
        <w:pStyle w:val="FirstParagraph"/>
      </w:pPr>
      <w:r>
        <w:t xml:space="preserve">مقارنة المشاريع جنباً إلى جنب</w:t>
      </w:r>
    </w:p>
    <w:p>
      <w:pPr>
        <w:pStyle w:val="BodyText"/>
      </w:pPr>
      <w:r>
        <w:t xml:space="preserve">صف لكل مشروع وعمود لكل مؤشر، فيظهر المشروع الرابح والمشروع الخاسر في نظرة واحدة قبل أن يستفحل الانحراف.</w:t>
      </w:r>
    </w:p>
    <w:p>
      <w:pPr>
        <w:pStyle w:val="Heading3"/>
      </w:pPr>
      <w:bookmarkStart w:id="225" w:name="لوحة-التحصيلات-والشيكات"/>
      <w:r>
        <w:t xml:space="preserve">لوحة التحصيلات والشيكات</w:t>
      </w:r>
      <w:bookmarkEnd w:id="225"/>
    </w:p>
    <w:p>
      <w:pPr>
        <w:pStyle w:val="FirstParagraph"/>
      </w:pPr>
      <w:r>
        <w:t xml:space="preserve">حالة كل شيك ودورة عمره</w:t>
      </w:r>
    </w:p>
    <w:p>
      <w:pPr>
        <w:pStyle w:val="BodyText"/>
      </w:pPr>
      <w:r>
        <w:t xml:space="preserve">لأن معظم التحصيل يتم بالشيكات، تُفرد لها لوحة كاملة تعرض الشيك بحالته ومشروعه وبنكه وتاريخ استحقاقه.</w:t>
      </w:r>
    </w:p>
    <w:p>
      <w:pPr>
        <w:numPr>
          <w:ilvl w:val="0"/>
          <w:numId w:val="1091"/>
        </w:numPr>
        <w:pStyle w:val="Compact"/>
      </w:pPr>
      <w:r>
        <w:t xml:space="preserve">الشيكات تحت التحصيل بقيمتها وأعدادها</w:t>
      </w:r>
    </w:p>
    <w:p>
      <w:pPr>
        <w:numPr>
          <w:ilvl w:val="0"/>
          <w:numId w:val="1091"/>
        </w:numPr>
        <w:pStyle w:val="Compact"/>
      </w:pPr>
      <w:r>
        <w:t xml:space="preserve">المودعة في كل بنك من البنوك الأربعة</w:t>
      </w:r>
    </w:p>
    <w:p>
      <w:pPr>
        <w:numPr>
          <w:ilvl w:val="0"/>
          <w:numId w:val="1091"/>
        </w:numPr>
        <w:pStyle w:val="Compact"/>
      </w:pPr>
      <w:r>
        <w:t xml:space="preserve">المحصَّلة فعلياً خلال الفترة</w:t>
      </w:r>
    </w:p>
    <w:p>
      <w:pPr>
        <w:numPr>
          <w:ilvl w:val="0"/>
          <w:numId w:val="1091"/>
        </w:numPr>
        <w:pStyle w:val="Compact"/>
      </w:pPr>
      <w:r>
        <w:t xml:space="preserve">المرتدة وسببها والإجراء المتخذ</w:t>
      </w:r>
    </w:p>
    <w:p>
      <w:pPr>
        <w:numPr>
          <w:ilvl w:val="0"/>
          <w:numId w:val="1091"/>
        </w:numPr>
        <w:pStyle w:val="Compact"/>
      </w:pPr>
      <w:r>
        <w:t xml:space="preserve">جدول الاستحقاقات أسبوعاً بأسبوع</w:t>
      </w:r>
    </w:p>
    <w:p>
      <w:pPr>
        <w:numPr>
          <w:ilvl w:val="0"/>
          <w:numId w:val="1091"/>
        </w:numPr>
        <w:pStyle w:val="Compact"/>
      </w:pPr>
      <w:r>
        <w:t xml:space="preserve">الذمم المدينة وأعمارها لكل عميل</w:t>
      </w:r>
    </w:p>
    <w:p>
      <w:pPr>
        <w:pStyle w:val="Heading3"/>
      </w:pPr>
      <w:bookmarkStart w:id="226" w:name="X38895850060b7898a8be8eae6ddcbbd4a1210ab"/>
      <w:r>
        <w:t xml:space="preserve">ثلاثة مستويات للتنقل — من الرقم المجمَّع إلى المستند</w:t>
      </w:r>
      <w:bookmarkEnd w:id="226"/>
    </w:p>
    <w:p>
      <w:pPr>
        <w:pStyle w:val="FirstParagraph"/>
      </w:pPr>
      <w:r>
        <w:t xml:space="preserve">لا يحتاج المدير إلى طلب كشف من المحاسب ليعرف مصدر أي رقم — تُقرأ من اليمين إلى اليسار</w:t>
      </w:r>
    </w:p>
    <w:p>
      <w:pPr>
        <w:pStyle w:val="BodyText"/>
      </w:pPr>
      <w:r>
        <w:t xml:space="preserve">مستوى الشركة</w:t>
      </w:r>
    </w:p>
    <w:p>
      <w:pPr>
        <w:pStyle w:val="BodyText"/>
      </w:pPr>
      <w:r>
        <w:t xml:space="preserve">الرقم المجمَّع لكل المشاريع</w:t>
      </w:r>
    </w:p>
    <w:p>
      <w:pPr>
        <w:pStyle w:val="BodyText"/>
      </w:pPr>
      <w:r>
        <w:t xml:space="preserve">مستوى المشروع</w:t>
      </w:r>
    </w:p>
    <w:p>
      <w:pPr>
        <w:pStyle w:val="BodyText"/>
      </w:pPr>
      <w:r>
        <w:t xml:space="preserve">حصة كل مشروع من الرقم</w:t>
      </w:r>
    </w:p>
    <w:p>
      <w:pPr>
        <w:pStyle w:val="BodyText"/>
      </w:pPr>
      <w:r>
        <w:t xml:space="preserve">مستوى البند</w:t>
      </w:r>
    </w:p>
    <w:p>
      <w:pPr>
        <w:pStyle w:val="BodyText"/>
      </w:pPr>
      <w:r>
        <w:t xml:space="preserve">مواد أو عمالة أو باطن أو معدات</w:t>
      </w:r>
    </w:p>
    <w:p>
      <w:pPr>
        <w:pStyle w:val="BodyText"/>
      </w:pPr>
      <w:r>
        <w:t xml:space="preserve">المستند نفسه</w:t>
      </w:r>
    </w:p>
    <w:p>
      <w:pPr>
        <w:pStyle w:val="BodyText"/>
      </w:pPr>
      <w:r>
        <w:t xml:space="preserve">فاتورة أو شيك أو أمر صرف بتوقيعه</w:t>
      </w:r>
    </w:p>
    <w:p>
      <w:pPr>
        <w:pStyle w:val="BodyText"/>
      </w:pPr>
      <w:r>
        <w:t xml:space="preserve">ملاحظة على المسار</w:t>
      </w:r>
    </w:p>
    <w:p>
      <w:pPr>
        <w:pStyle w:val="BodyText"/>
      </w:pPr>
      <w:r>
        <w:t xml:space="preserve">كل خطوة في المسار مرتبطة بالخطوة التي تليها آلياً، فلا يوجد نقل يدوي للأرقام بين مرحلة وأخرى. أي تعديل على مستند معتمد يُعاد احتسابه في اللوحات فوراً مع بقاء أثر التعديل في السجل.</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الإيراد المعتمد</w:t>
            </w:r>
          </w:p>
        </w:tc>
        <w:tc>
          <w:tcPr>
            <w:tcBorders>
              <w:bottom w:val="single"/>
            </w:tcBorders>
            <w:vAlign w:val="bottom"/>
          </w:tcPr>
          <w:p>
            <w:pPr>
              <w:pStyle w:val="Compact"/>
              <w:jc w:val="left"/>
            </w:pPr>
            <w:r>
              <w:t xml:space="preserve">من المستخلصات والفواتير</w:t>
            </w:r>
          </w:p>
        </w:tc>
      </w:tr>
      <w:tr>
        <w:tc>
          <w:p>
            <w:pPr>
              <w:pStyle w:val="Compact"/>
              <w:jc w:val="left"/>
            </w:pPr>
            <w:r>
              <w:t xml:space="preserve">التكلفة الفعلية</w:t>
            </w:r>
          </w:p>
        </w:tc>
        <w:tc>
          <w:p>
            <w:pPr>
              <w:pStyle w:val="Compact"/>
              <w:jc w:val="left"/>
            </w:pPr>
            <w:r>
              <w:t xml:space="preserve">مواد وعمالة وباطن ومعدات</w:t>
            </w:r>
          </w:p>
        </w:tc>
      </w:tr>
      <w:tr>
        <w:tc>
          <w:p>
            <w:pPr>
              <w:pStyle w:val="Compact"/>
              <w:jc w:val="left"/>
            </w:pPr>
            <w:r>
              <w:t xml:space="preserve">الموازنة المخططة</w:t>
            </w:r>
          </w:p>
        </w:tc>
        <w:tc>
          <w:p>
            <w:pPr>
              <w:pStyle w:val="Compact"/>
              <w:jc w:val="left"/>
            </w:pPr>
            <w:r>
              <w:t xml:space="preserve">حسب بنود العقد</w:t>
            </w:r>
          </w:p>
        </w:tc>
      </w:tr>
      <w:tr>
        <w:tc>
          <w:p>
            <w:pPr>
              <w:pStyle w:val="Compact"/>
              <w:jc w:val="left"/>
            </w:pPr>
            <w:r>
              <w:t xml:space="preserve">هامش الربح</w:t>
            </w:r>
          </w:p>
        </w:tc>
        <w:tc>
          <w:p>
            <w:pPr>
              <w:pStyle w:val="Compact"/>
              <w:jc w:val="left"/>
            </w:pPr>
            <w:r>
              <w:t xml:space="preserve">بالقيمة وبالنسبة المئوية</w:t>
            </w:r>
          </w:p>
        </w:tc>
      </w:tr>
      <w:tr>
        <w:tc>
          <w:p>
            <w:pPr>
              <w:pStyle w:val="Compact"/>
              <w:jc w:val="left"/>
            </w:pPr>
            <w:r>
              <w:t xml:space="preserve">نسبة الإنجاز</w:t>
            </w:r>
          </w:p>
        </w:tc>
        <w:tc>
          <w:p>
            <w:pPr>
              <w:pStyle w:val="Compact"/>
              <w:jc w:val="left"/>
            </w:pPr>
            <w:r>
              <w:t xml:space="preserve">مقارنة بالمنصرف حتى تاريخه</w:t>
            </w:r>
          </w:p>
        </w:tc>
      </w:tr>
      <w:tr>
        <w:tc>
          <w:p>
            <w:pPr>
              <w:pStyle w:val="Compact"/>
              <w:jc w:val="left"/>
            </w:pPr>
            <w:r>
              <w:t xml:space="preserve">الانحراف عن المخطط</w:t>
            </w:r>
          </w:p>
        </w:tc>
        <w:tc>
          <w:p>
            <w:pPr>
              <w:pStyle w:val="Compact"/>
              <w:jc w:val="left"/>
            </w:pPr>
            <w:r>
              <w:t xml:space="preserve">تلوين تلقائي عند التجاوز</w:t>
            </w:r>
          </w:p>
        </w:tc>
      </w:tr>
    </w:tbl>
    <w:p>
      <w:pPr>
        <w:pStyle w:val="BodyText"/>
      </w:pPr>
      <w:r>
        <w:t xml:space="preserve">وحدة التحليلات ولوحات المعلومات</w:t>
      </w:r>
    </w:p>
    <w:p>
      <w:pPr>
        <w:pStyle w:val="Heading3"/>
      </w:pPr>
      <w:bookmarkStart w:id="227" w:name="الوظائف-والإمكانات-5"/>
      <w:r>
        <w:t xml:space="preserve">الوظائف والإمكانات</w:t>
      </w:r>
      <w:bookmarkEnd w:id="227"/>
    </w:p>
    <w:p>
      <w:pPr>
        <w:pStyle w:val="FirstParagraph"/>
      </w:pPr>
      <w:r>
        <w:t xml:space="preserve">أربع لوحات رئيسية تغطي المال والمشروع والتحصيل والسيولة، ولوحة خامسة للعمليات — كلها تعمل على المستوى المجمَّع وعلى مستوى المشروع الواحد.</w:t>
      </w:r>
    </w:p>
    <w:p>
      <w:pPr>
        <w:pStyle w:val="Heading3"/>
      </w:pPr>
      <w:bookmarkStart w:id="228" w:name="اللوحة-المجمعة-للشركة"/>
      <w:r>
        <w:t xml:space="preserve">اللوحة المجمَّعة للشركة</w:t>
      </w:r>
      <w:bookmarkEnd w:id="228"/>
    </w:p>
    <w:p>
      <w:pPr>
        <w:pStyle w:val="FirstParagraph"/>
      </w:pPr>
      <w:r>
        <w:t xml:space="preserve">صورة الشركة في شاشة واحدة</w:t>
      </w:r>
    </w:p>
    <w:p>
      <w:pPr>
        <w:pStyle w:val="BodyText"/>
      </w:pPr>
      <w:r>
        <w:t xml:space="preserve">تجمع نتائج كل المشاريع الجارية في مؤشرات عليا، مع إمكانية تصفيتها بالفترة أو بالعميل أو بنوع النشاط.</w:t>
      </w:r>
    </w:p>
    <w:p>
      <w:pPr>
        <w:numPr>
          <w:ilvl w:val="0"/>
          <w:numId w:val="1092"/>
        </w:numPr>
        <w:pStyle w:val="Compact"/>
      </w:pPr>
      <w:r>
        <w:t xml:space="preserve">الإيرادات والتكاليف وصافي الربح للشركة</w:t>
      </w:r>
    </w:p>
    <w:p>
      <w:pPr>
        <w:numPr>
          <w:ilvl w:val="0"/>
          <w:numId w:val="1092"/>
        </w:numPr>
        <w:pStyle w:val="Compact"/>
      </w:pPr>
      <w:r>
        <w:t xml:space="preserve">عدد المشاريع الجارية وقيمة العقود القائمة</w:t>
      </w:r>
    </w:p>
    <w:p>
      <w:pPr>
        <w:numPr>
          <w:ilvl w:val="0"/>
          <w:numId w:val="1092"/>
        </w:numPr>
        <w:pStyle w:val="Compact"/>
      </w:pPr>
      <w:r>
        <w:t xml:space="preserve">المفوتر مقابل المحصَّل ونسبة التحصيل</w:t>
      </w:r>
    </w:p>
    <w:p>
      <w:pPr>
        <w:numPr>
          <w:ilvl w:val="0"/>
          <w:numId w:val="1092"/>
        </w:numPr>
        <w:pStyle w:val="Compact"/>
      </w:pPr>
      <w:r>
        <w:t xml:space="preserve">أرصدة البنوك الأربعة والنقدية بالخزينة</w:t>
      </w:r>
    </w:p>
    <w:p>
      <w:pPr>
        <w:numPr>
          <w:ilvl w:val="0"/>
          <w:numId w:val="1092"/>
        </w:numPr>
        <w:pStyle w:val="Compact"/>
      </w:pPr>
      <w:r>
        <w:t xml:space="preserve">مقارنة الفترة الحالية بالفترة السابقة</w:t>
      </w:r>
    </w:p>
    <w:p>
      <w:pPr>
        <w:pStyle w:val="Heading3"/>
      </w:pPr>
      <w:bookmarkStart w:id="229" w:name="لوحة-ربحية-المشاريع-1"/>
      <w:r>
        <w:t xml:space="preserve">لوحة ربحية المشاريع</w:t>
      </w:r>
      <w:bookmarkEnd w:id="229"/>
    </w:p>
    <w:p>
      <w:pPr>
        <w:pStyle w:val="FirstParagraph"/>
      </w:pPr>
      <w:r>
        <w:t xml:space="preserve">الرابح والخاسر مبكراً</w:t>
      </w:r>
    </w:p>
    <w:p>
      <w:pPr>
        <w:pStyle w:val="BodyText"/>
      </w:pPr>
      <w:r>
        <w:t xml:space="preserve">تعرض المشاريع في جدول واحد قابل للفرز بالهامش أو بالانحراف، فيتصدر القائمةَ المشروعُ الذي يحتاج تدخلاً اليوم لا في نهاية العام.</w:t>
      </w:r>
    </w:p>
    <w:p>
      <w:pPr>
        <w:numPr>
          <w:ilvl w:val="0"/>
          <w:numId w:val="1093"/>
        </w:numPr>
        <w:pStyle w:val="Compact"/>
      </w:pPr>
      <w:r>
        <w:t xml:space="preserve">الإيراد والتكلفة الفعلية لكل مشروع</w:t>
      </w:r>
    </w:p>
    <w:p>
      <w:pPr>
        <w:numPr>
          <w:ilvl w:val="0"/>
          <w:numId w:val="1093"/>
        </w:numPr>
        <w:pStyle w:val="Compact"/>
      </w:pPr>
      <w:r>
        <w:t xml:space="preserve">الموازنة المعتمدة والمنصرف منها</w:t>
      </w:r>
    </w:p>
    <w:p>
      <w:pPr>
        <w:numPr>
          <w:ilvl w:val="0"/>
          <w:numId w:val="1093"/>
        </w:numPr>
        <w:pStyle w:val="Compact"/>
      </w:pPr>
      <w:r>
        <w:t xml:space="preserve">هامش الربح بالقيمة وبالنسبة</w:t>
      </w:r>
    </w:p>
    <w:p>
      <w:pPr>
        <w:numPr>
          <w:ilvl w:val="0"/>
          <w:numId w:val="1093"/>
        </w:numPr>
        <w:pStyle w:val="Compact"/>
      </w:pPr>
      <w:r>
        <w:t xml:space="preserve">نسبة الإنجاز مقابل نسبة الصرف</w:t>
      </w:r>
    </w:p>
    <w:p>
      <w:pPr>
        <w:numPr>
          <w:ilvl w:val="0"/>
          <w:numId w:val="1093"/>
        </w:numPr>
        <w:pStyle w:val="Compact"/>
      </w:pPr>
      <w:r>
        <w:t xml:space="preserve">الانحراف عن التكلفة المخططة لكل بند</w:t>
      </w:r>
    </w:p>
    <w:p>
      <w:pPr>
        <w:pStyle w:val="Heading3"/>
      </w:pPr>
      <w:bookmarkStart w:id="230" w:name="لوحة-التحصيلات-والشيكات-1"/>
      <w:r>
        <w:t xml:space="preserve">لوحة التحصيلات والشيكات</w:t>
      </w:r>
      <w:bookmarkEnd w:id="230"/>
    </w:p>
    <w:p>
      <w:pPr>
        <w:pStyle w:val="FirstParagraph"/>
      </w:pPr>
      <w:r>
        <w:t xml:space="preserve">حسب الحالة والمشروع والعميل</w:t>
      </w:r>
    </w:p>
    <w:p>
      <w:pPr>
        <w:pStyle w:val="BodyText"/>
      </w:pPr>
      <w:r>
        <w:t xml:space="preserve">تُقسَّم الشيكات على حالاتها الأربع، ويُربط كل شيك بمشروعه وبدفتر شيكاته وبحسابه البنكي، فتُعرف قيمة كل حالة في أي لحظة.</w:t>
      </w:r>
    </w:p>
    <w:p>
      <w:pPr>
        <w:numPr>
          <w:ilvl w:val="0"/>
          <w:numId w:val="1094"/>
        </w:numPr>
        <w:pStyle w:val="Compact"/>
      </w:pPr>
      <w:r>
        <w:t xml:space="preserve">تحت التحصيل / مودعة / محصَّلة / مرتدة</w:t>
      </w:r>
    </w:p>
    <w:p>
      <w:pPr>
        <w:numPr>
          <w:ilvl w:val="0"/>
          <w:numId w:val="1094"/>
        </w:numPr>
        <w:pStyle w:val="Compact"/>
      </w:pPr>
      <w:r>
        <w:t xml:space="preserve">جدول الاستحقاقات القادمة أسبوعاً بأسبوع</w:t>
      </w:r>
    </w:p>
    <w:p>
      <w:pPr>
        <w:numPr>
          <w:ilvl w:val="0"/>
          <w:numId w:val="1094"/>
        </w:numPr>
        <w:pStyle w:val="Compact"/>
      </w:pPr>
      <w:r>
        <w:t xml:space="preserve">أعمار الذمم المدينة بشرائح زمنية واضحة</w:t>
      </w:r>
    </w:p>
    <w:p>
      <w:pPr>
        <w:numPr>
          <w:ilvl w:val="0"/>
          <w:numId w:val="1094"/>
        </w:numPr>
        <w:pStyle w:val="Compact"/>
      </w:pPr>
      <w:r>
        <w:t xml:space="preserve">التحصيل لكل مشروع ولكل عميل على حدة</w:t>
      </w:r>
    </w:p>
    <w:p>
      <w:pPr>
        <w:numPr>
          <w:ilvl w:val="0"/>
          <w:numId w:val="1094"/>
        </w:numPr>
        <w:pStyle w:val="Compact"/>
      </w:pPr>
      <w:r>
        <w:t xml:space="preserve">نسبة الشيكات المرتدة كمؤشر على جودة العميل</w:t>
      </w:r>
    </w:p>
    <w:p>
      <w:pPr>
        <w:pStyle w:val="Heading3"/>
      </w:pPr>
      <w:bookmarkStart w:id="231" w:name="لوحة-التدفق-النقدي"/>
      <w:r>
        <w:t xml:space="preserve">لوحة التدفق النقدي</w:t>
      </w:r>
      <w:bookmarkEnd w:id="231"/>
    </w:p>
    <w:p>
      <w:pPr>
        <w:pStyle w:val="FirstParagraph"/>
      </w:pPr>
      <w:r>
        <w:t xml:space="preserve">الداخل مقابل الخارج</w:t>
      </w:r>
    </w:p>
    <w:p>
      <w:pPr>
        <w:pStyle w:val="BodyText"/>
      </w:pPr>
      <w:r>
        <w:t xml:space="preserve">تبني توقع السيولة من تواريخ استحقاق الشيكات والمستخلصات في جهة، ومن التزامات الموردين والباطن والرواتب في الجهة المقابلة.</w:t>
      </w:r>
    </w:p>
    <w:p>
      <w:pPr>
        <w:numPr>
          <w:ilvl w:val="0"/>
          <w:numId w:val="1095"/>
        </w:numPr>
        <w:pStyle w:val="Compact"/>
      </w:pPr>
      <w:r>
        <w:t xml:space="preserve">الداخل: شيكات مستحقة ومستخلصات معتمدة</w:t>
      </w:r>
    </w:p>
    <w:p>
      <w:pPr>
        <w:numPr>
          <w:ilvl w:val="0"/>
          <w:numId w:val="1095"/>
        </w:numPr>
        <w:pStyle w:val="Compact"/>
      </w:pPr>
      <w:r>
        <w:t xml:space="preserve">الخارج: موردون ومقاولو باطن ورواتب</w:t>
      </w:r>
    </w:p>
    <w:p>
      <w:pPr>
        <w:numPr>
          <w:ilvl w:val="0"/>
          <w:numId w:val="1095"/>
        </w:numPr>
        <w:pStyle w:val="Compact"/>
      </w:pPr>
      <w:r>
        <w:t xml:space="preserve">الصافي المتوقع لكل بنك من البنوك الأربعة</w:t>
      </w:r>
    </w:p>
    <w:p>
      <w:pPr>
        <w:numPr>
          <w:ilvl w:val="0"/>
          <w:numId w:val="1095"/>
        </w:numPr>
        <w:pStyle w:val="Compact"/>
      </w:pPr>
      <w:r>
        <w:t xml:space="preserve">أفق زمني أسبوعي وشهري قابل للتعديل</w:t>
      </w:r>
    </w:p>
    <w:p>
      <w:pPr>
        <w:numPr>
          <w:ilvl w:val="0"/>
          <w:numId w:val="1095"/>
        </w:numPr>
        <w:pStyle w:val="Compact"/>
      </w:pPr>
      <w:r>
        <w:t xml:space="preserve">إنذار مبكر عند توقع عجز في أسبوع معين</w:t>
      </w:r>
    </w:p>
    <w:p>
      <w:pPr>
        <w:pStyle w:val="Heading3"/>
      </w:pPr>
      <w:bookmarkStart w:id="232" w:name="لوحة-العمليات-ما-يجري-في-المواقع-فعليا"/>
      <w:r>
        <w:t xml:space="preserve">لوحة العمليات — ما يجري في المواقع فعلياً</w:t>
      </w:r>
      <w:bookmarkEnd w:id="232"/>
    </w:p>
    <w:p>
      <w:pPr>
        <w:pStyle w:val="FirstParagraph"/>
      </w:pPr>
      <w:r>
        <w:t xml:space="preserve">الجانب التشغيلي الذي يفسّر أرقام الجانب المالي</w:t>
      </w:r>
    </w:p>
    <w:p>
      <w:pPr>
        <w:pStyle w:val="BodyText"/>
      </w:pPr>
      <w:r>
        <w:t xml:space="preserve">استهلاك المواد</w:t>
      </w:r>
    </w:p>
    <w:p>
      <w:pPr>
        <w:pStyle w:val="BodyText"/>
      </w:pPr>
      <w:r>
        <w:t xml:space="preserve">لكل مشروع وبند ومخزن</w:t>
      </w:r>
    </w:p>
    <w:p>
      <w:pPr>
        <w:pStyle w:val="BodyText"/>
      </w:pPr>
      <w:r>
        <w:t xml:space="preserve">توزيع المعدات</w:t>
      </w:r>
    </w:p>
    <w:p>
      <w:pPr>
        <w:pStyle w:val="BodyText"/>
      </w:pPr>
      <w:r>
        <w:t xml:space="preserve">أين كل معدة والآن</w:t>
      </w:r>
    </w:p>
    <w:p>
      <w:pPr>
        <w:pStyle w:val="BodyText"/>
      </w:pPr>
      <w:r>
        <w:t xml:space="preserve">نسبة التشغيل</w:t>
      </w:r>
    </w:p>
    <w:p>
      <w:pPr>
        <w:pStyle w:val="BodyText"/>
      </w:pPr>
      <w:r>
        <w:t xml:space="preserve">ساعات العمل مقابل التوقف</w:t>
      </w:r>
    </w:p>
    <w:p>
      <w:pPr>
        <w:pStyle w:val="BodyText"/>
      </w:pPr>
      <w:r>
        <w:t xml:space="preserve">العمالة والباطن</w:t>
      </w:r>
    </w:p>
    <w:p>
      <w:pPr>
        <w:pStyle w:val="BodyText"/>
      </w:pPr>
      <w:r>
        <w:t xml:space="preserve">تكلفتهما لكل مشروع</w:t>
      </w:r>
    </w:p>
    <w:p>
      <w:pPr>
        <w:pStyle w:val="BodyText"/>
      </w:pPr>
      <w:r>
        <w:t xml:space="preserve">الفوز بالمناقصات</w:t>
      </w:r>
    </w:p>
    <w:p>
      <w:pPr>
        <w:pStyle w:val="BodyText"/>
      </w:pPr>
      <w:r>
        <w:t xml:space="preserve">معدل الفوز وقيمة المتقدَّم له</w:t>
      </w:r>
    </w:p>
    <w:p>
      <w:pPr>
        <w:pStyle w:val="BodyText"/>
      </w:pPr>
      <w:r>
        <w:t xml:space="preserve">ملاحظة الصلاحيات</w:t>
      </w:r>
    </w:p>
    <w:p>
      <w:pPr>
        <w:pStyle w:val="BodyText"/>
      </w:pPr>
      <w:r>
        <w:t xml:space="preserve">كل لوحة محكومة بصلاحية المستخدم ضمن المستخدمين الخمسة عشر المسمَّين: مدير المشروع يرى مشروعه فقط، والمدير المالي يرى البنوك والذمم، والإدارة العليا ترى الصورة المجمَّعة كاملة.</w:t>
      </w:r>
    </w:p>
    <w:p>
      <w:pPr>
        <w:pStyle w:val="BodyText"/>
      </w:pPr>
      <w:r>
        <w:t xml:space="preserve">وحدة التحليلات ولوحات المعلومات</w:t>
      </w:r>
    </w:p>
    <w:p>
      <w:pPr>
        <w:pStyle w:val="Heading3"/>
      </w:pPr>
      <w:bookmarkStart w:id="233" w:name="التقارير-ومؤشرات-الأداء"/>
      <w:r>
        <w:t xml:space="preserve">التقارير ومؤشرات الأداء</w:t>
      </w:r>
      <w:bookmarkEnd w:id="233"/>
    </w:p>
    <w:p>
      <w:pPr>
        <w:pStyle w:val="FirstParagraph"/>
      </w:pPr>
      <w:r>
        <w:t xml:space="preserve">بطاقات مؤشرات كبيرة تُقرأ من مسافة، يليها شريط ملخص للإدارة العليا. الأرقام المعروضة أدناه توضيحية لشكل اللوحة، وتُستبدل بأرقام الشركة الفعلية عند التشغيل.</w:t>
      </w:r>
    </w:p>
    <w:p>
      <w:pPr>
        <w:pStyle w:val="Heading3"/>
      </w:pPr>
      <w:bookmarkStart w:id="234" w:name="هامش-الربح-لكل-مشروع"/>
      <w:r>
        <w:t xml:space="preserve">هامش الربح لكل مشروع</w:t>
      </w:r>
      <w:bookmarkEnd w:id="234"/>
    </w:p>
    <w:p>
      <w:pPr>
        <w:pStyle w:val="FirstParagraph"/>
      </w:pPr>
      <w:r>
        <w:t xml:space="preserve">متوسط المشاريع الجارية</w:t>
      </w:r>
    </w:p>
    <w:p>
      <w:pPr>
        <w:pStyle w:val="BodyText"/>
      </w:pPr>
      <w:r>
        <w:t xml:space="preserve">18.4%</w:t>
      </w:r>
    </w:p>
    <w:p>
      <w:pPr>
        <w:pStyle w:val="BodyText"/>
      </w:pPr>
      <w:r>
        <w:t xml:space="preserve">مع تمييز كل مشروع هامشه دون الحد المستهدف</w:t>
      </w:r>
    </w:p>
    <w:p>
      <w:pPr>
        <w:numPr>
          <w:ilvl w:val="0"/>
          <w:numId w:val="1096"/>
        </w:numPr>
        <w:pStyle w:val="Compact"/>
      </w:pPr>
      <w:r>
        <w:t xml:space="preserve">الهامش لكل مشروع ولكل بند داخل المشروع</w:t>
      </w:r>
    </w:p>
    <w:p>
      <w:pPr>
        <w:numPr>
          <w:ilvl w:val="0"/>
          <w:numId w:val="1096"/>
        </w:numPr>
        <w:pStyle w:val="Compact"/>
      </w:pPr>
      <w:r>
        <w:t xml:space="preserve">مقارنة الهامش المخطط بالهامش المحقق</w:t>
      </w:r>
    </w:p>
    <w:p>
      <w:pPr>
        <w:numPr>
          <w:ilvl w:val="0"/>
          <w:numId w:val="1096"/>
        </w:numPr>
        <w:pStyle w:val="Compact"/>
      </w:pPr>
      <w:r>
        <w:t xml:space="preserve">ترتيب المشاريع تنازلياً حسب المساهمة في الربح</w:t>
      </w:r>
    </w:p>
    <w:p>
      <w:pPr>
        <w:pStyle w:val="Heading3"/>
      </w:pPr>
      <w:bookmarkStart w:id="235" w:name="نسبة-التحصيل"/>
      <w:r>
        <w:t xml:space="preserve">نسبة التحصيل</w:t>
      </w:r>
      <w:bookmarkEnd w:id="235"/>
    </w:p>
    <w:p>
      <w:pPr>
        <w:pStyle w:val="FirstParagraph"/>
      </w:pPr>
      <w:r>
        <w:t xml:space="preserve">المحصَّل من إجمالي المفوتر</w:t>
      </w:r>
    </w:p>
    <w:p>
      <w:pPr>
        <w:pStyle w:val="BodyText"/>
      </w:pPr>
      <w:r>
        <w:t xml:space="preserve">76%</w:t>
      </w:r>
    </w:p>
    <w:p>
      <w:pPr>
        <w:pStyle w:val="BodyText"/>
      </w:pPr>
      <w:r>
        <w:t xml:space="preserve">موزَّعة على المشاريع والعملاء وقنوات التحصيل</w:t>
      </w:r>
    </w:p>
    <w:p>
      <w:pPr>
        <w:numPr>
          <w:ilvl w:val="0"/>
          <w:numId w:val="1097"/>
        </w:numPr>
        <w:pStyle w:val="Compact"/>
      </w:pPr>
      <w:r>
        <w:t xml:space="preserve">الفارق بين المفوتر والمحصَّل بالقيمة</w:t>
      </w:r>
    </w:p>
    <w:p>
      <w:pPr>
        <w:numPr>
          <w:ilvl w:val="0"/>
          <w:numId w:val="1097"/>
        </w:numPr>
        <w:pStyle w:val="Compact"/>
      </w:pPr>
      <w:r>
        <w:t xml:space="preserve">أعمار الذمم المدينة بشرائح زمنية</w:t>
      </w:r>
    </w:p>
    <w:p>
      <w:pPr>
        <w:numPr>
          <w:ilvl w:val="0"/>
          <w:numId w:val="1097"/>
        </w:numPr>
        <w:pStyle w:val="Compact"/>
      </w:pPr>
      <w:r>
        <w:t xml:space="preserve">أبطأ العملاء سداداً وأسرعهم</w:t>
      </w:r>
    </w:p>
    <w:p>
      <w:pPr>
        <w:pStyle w:val="Heading3"/>
      </w:pPr>
      <w:bookmarkStart w:id="236" w:name="الشيكات-تحت-التحصيل"/>
      <w:r>
        <w:t xml:space="preserve">الشيكات تحت التحصيل</w:t>
      </w:r>
      <w:bookmarkEnd w:id="236"/>
    </w:p>
    <w:p>
      <w:pPr>
        <w:pStyle w:val="FirstParagraph"/>
      </w:pPr>
      <w:r>
        <w:t xml:space="preserve">قيمتها وعددها وتوزيعها</w:t>
      </w:r>
    </w:p>
    <w:p>
      <w:pPr>
        <w:pStyle w:val="BodyText"/>
      </w:pPr>
      <w:r>
        <w:t xml:space="preserve">412,500 KWD</w:t>
      </w:r>
    </w:p>
    <w:p>
      <w:pPr>
        <w:pStyle w:val="BodyText"/>
      </w:pPr>
      <w:r>
        <w:t xml:space="preserve">موزَّعة على المشاريع وعلى تواريخ الاستحقاق</w:t>
      </w:r>
    </w:p>
    <w:p>
      <w:pPr>
        <w:numPr>
          <w:ilvl w:val="0"/>
          <w:numId w:val="1098"/>
        </w:numPr>
        <w:pStyle w:val="Compact"/>
      </w:pPr>
      <w:r>
        <w:t xml:space="preserve">القيمة حسب الحالة: تحت التحصيل ومودعة ومحصَّلة</w:t>
      </w:r>
    </w:p>
    <w:p>
      <w:pPr>
        <w:numPr>
          <w:ilvl w:val="0"/>
          <w:numId w:val="1098"/>
        </w:numPr>
        <w:pStyle w:val="Compact"/>
      </w:pPr>
      <w:r>
        <w:t xml:space="preserve">المستحق خلال الأسبوعين القادمين</w:t>
      </w:r>
    </w:p>
    <w:p>
      <w:pPr>
        <w:numPr>
          <w:ilvl w:val="0"/>
          <w:numId w:val="1098"/>
        </w:numPr>
        <w:pStyle w:val="Compact"/>
      </w:pPr>
      <w:r>
        <w:t xml:space="preserve">قيمة الشيكات المرتدة ونسبتها من الإجمالي</w:t>
      </w:r>
    </w:p>
    <w:p>
      <w:pPr>
        <w:pStyle w:val="Heading3"/>
      </w:pPr>
      <w:bookmarkStart w:id="237" w:name="أرصدة-البنوك-الأربعة"/>
      <w:r>
        <w:t xml:space="preserve">أرصدة البنوك الأربعة</w:t>
      </w:r>
      <w:bookmarkEnd w:id="237"/>
    </w:p>
    <w:p>
      <w:pPr>
        <w:pStyle w:val="FirstParagraph"/>
      </w:pPr>
      <w:r>
        <w:t xml:space="preserve">الرصيد المتاح مجمَّعاً</w:t>
      </w:r>
    </w:p>
    <w:p>
      <w:pPr>
        <w:pStyle w:val="BodyText"/>
      </w:pPr>
      <w:r>
        <w:t xml:space="preserve">268,900 KWD</w:t>
      </w:r>
    </w:p>
    <w:p>
      <w:pPr>
        <w:pStyle w:val="BodyText"/>
      </w:pPr>
      <w:r>
        <w:t xml:space="preserve">مع رصيد كل بنك على حدة وحالة تسويته</w:t>
      </w:r>
    </w:p>
    <w:p>
      <w:pPr>
        <w:numPr>
          <w:ilvl w:val="0"/>
          <w:numId w:val="1099"/>
        </w:numPr>
        <w:pStyle w:val="Compact"/>
      </w:pPr>
      <w:r>
        <w:t xml:space="preserve">رصيد الدفاتر مقابل رصيد كشف الحساب</w:t>
      </w:r>
    </w:p>
    <w:p>
      <w:pPr>
        <w:numPr>
          <w:ilvl w:val="0"/>
          <w:numId w:val="1099"/>
        </w:numPr>
        <w:pStyle w:val="Compact"/>
      </w:pPr>
      <w:r>
        <w:t xml:space="preserve">تاريخ آخر تسوية بنكية لكل حساب</w:t>
      </w:r>
    </w:p>
    <w:p>
      <w:pPr>
        <w:numPr>
          <w:ilvl w:val="0"/>
          <w:numId w:val="1099"/>
        </w:numPr>
        <w:pStyle w:val="Compact"/>
      </w:pPr>
      <w:r>
        <w:t xml:space="preserve">السيولة المتوقعة بعد التزامات الأسبوع</w:t>
      </w:r>
    </w:p>
    <w:p>
      <w:pPr>
        <w:pStyle w:val="Heading3"/>
      </w:pPr>
      <w:bookmarkStart w:id="238" w:name="شريط-ملخص-الإدارة-العليا"/>
      <w:r>
        <w:t xml:space="preserve">شريط ملخص الإدارة العليا</w:t>
      </w:r>
      <w:bookmarkEnd w:id="238"/>
    </w:p>
    <w:p>
      <w:pPr>
        <w:pStyle w:val="FirstParagraph"/>
      </w:pPr>
      <w:r>
        <w:t xml:space="preserve">خمسة أرقام تظهر فور تسجيل الدخول قبل فتح أي تقرير</w:t>
      </w:r>
    </w:p>
    <w:p>
      <w:pPr>
        <w:pStyle w:val="BodyText"/>
      </w:pPr>
      <w:r>
        <w:t xml:space="preserve">2,140,000</w:t>
      </w:r>
    </w:p>
    <w:p>
      <w:pPr>
        <w:pStyle w:val="BodyText"/>
      </w:pPr>
      <w:r>
        <w:t xml:space="preserve">إجمالي الإيرادات</w:t>
      </w:r>
    </w:p>
    <w:p>
      <w:pPr>
        <w:pStyle w:val="BodyText"/>
      </w:pPr>
      <w:r>
        <w:t xml:space="preserve">بعملة KWD منذ بداية السنة</w:t>
      </w:r>
    </w:p>
    <w:p>
      <w:pPr>
        <w:pStyle w:val="BodyText"/>
      </w:pPr>
      <w:r>
        <w:t xml:space="preserve">1,746,000</w:t>
      </w:r>
    </w:p>
    <w:p>
      <w:pPr>
        <w:pStyle w:val="BodyText"/>
      </w:pPr>
      <w:r>
        <w:t xml:space="preserve">إجمالي التكاليف</w:t>
      </w:r>
    </w:p>
    <w:p>
      <w:pPr>
        <w:pStyle w:val="BodyText"/>
      </w:pPr>
      <w:r>
        <w:t xml:space="preserve">مواد وعمالة وباطن ومعدات</w:t>
      </w:r>
    </w:p>
    <w:p>
      <w:pPr>
        <w:pStyle w:val="BodyText"/>
      </w:pPr>
      <w:r>
        <w:t xml:space="preserve">394,000</w:t>
      </w:r>
    </w:p>
    <w:p>
      <w:pPr>
        <w:pStyle w:val="BodyText"/>
      </w:pPr>
      <w:r>
        <w:t xml:space="preserve">صافي الربح</w:t>
      </w:r>
    </w:p>
    <w:p>
      <w:pPr>
        <w:pStyle w:val="BodyText"/>
      </w:pPr>
      <w:r>
        <w:t xml:space="preserve">مجمَّعاً وموزَّعاً على المشاريع</w:t>
      </w:r>
    </w:p>
    <w:p>
      <w:pPr>
        <w:pStyle w:val="BodyText"/>
      </w:pPr>
      <w:r>
        <w:t xml:space="preserve">المشاريع الجارية</w:t>
      </w:r>
    </w:p>
    <w:p>
      <w:pPr>
        <w:pStyle w:val="BodyText"/>
      </w:pPr>
      <w:r>
        <w:t xml:space="preserve">لكل مشروع لوحته المستقلة</w:t>
      </w:r>
    </w:p>
    <w:p>
      <w:pPr>
        <w:pStyle w:val="BodyText"/>
      </w:pPr>
      <w:r>
        <w:t xml:space="preserve">5,830,000</w:t>
      </w:r>
    </w:p>
    <w:p>
      <w:pPr>
        <w:pStyle w:val="BodyText"/>
      </w:pPr>
      <w:r>
        <w:t xml:space="preserve">قيمة العقود القائمة</w:t>
      </w:r>
    </w:p>
    <w:p>
      <w:pPr>
        <w:pStyle w:val="BodyText"/>
      </w:pPr>
      <w:r>
        <w:t xml:space="preserve">شاملة المناقصات المرساة</w:t>
      </w:r>
    </w:p>
    <w:p>
      <w:pPr>
        <w:pStyle w:val="BodyText"/>
      </w:pPr>
      <w:r>
        <w:t xml:space="preserve">ملاحظة على المؤشرات</w:t>
      </w:r>
    </w:p>
    <w:p>
      <w:pPr>
        <w:pStyle w:val="BodyText"/>
      </w:pPr>
      <w:r>
        <w:t xml:space="preserve">تُضبط حدود التنبيه لكل مؤشر مع الإدارة أثناء التنفيذ — الحد الأدنى لهامش المشروع، وعمر الذمة المسموح، ومهلة الإخطار قبل استحقاق الشيك — ثم يعمل النظام على هذه الحدود تلقائياً.</w:t>
      </w:r>
    </w:p>
    <w:p>
      <w:pPr>
        <w:pStyle w:val="BodyText"/>
      </w:pPr>
      <w:r>
        <w:t xml:space="preserve">وحدة التحليلات ولوحات المعلومات</w:t>
      </w:r>
    </w:p>
    <w:p>
      <w:pPr>
        <w:pStyle w:val="Heading3"/>
      </w:pPr>
      <w:bookmarkStart w:id="239" w:name="القيمة-المضافة-والتكامل-5"/>
      <w:r>
        <w:t xml:space="preserve">القيمة المضافة والتكامل</w:t>
      </w:r>
      <w:bookmarkEnd w:id="239"/>
    </w:p>
    <w:p>
      <w:pPr>
        <w:pStyle w:val="FirstParagraph"/>
      </w:pPr>
      <w:r>
        <w:t xml:space="preserve">اللوحات ليست وحدة منفصلة تُملأ يدوياً، بل الطبقة العليا التي تتغذى من كل وحدة أخرى في المنظومة — دون إدخال مزدوج ودون مطابقة يدوية في نهاية الشهر.</w:t>
      </w:r>
    </w:p>
    <w:p>
      <w:pPr>
        <w:pStyle w:val="Heading3"/>
      </w:pPr>
      <w:bookmarkStart w:id="240" w:name="مصادر-تغذية-اللوحات"/>
      <w:r>
        <w:t xml:space="preserve">مصادر تغذية اللوحات</w:t>
      </w:r>
      <w:bookmarkEnd w:id="240"/>
    </w:p>
    <w:p>
      <w:pPr>
        <w:pStyle w:val="FirstParagraph"/>
      </w:pPr>
      <w:r>
        <w:t xml:space="preserve">كل وحدة تُغذي مؤشرها مباشرة</w:t>
      </w:r>
    </w:p>
    <w:p>
      <w:pPr>
        <w:pStyle w:val="BodyText"/>
      </w:pPr>
      <w:r>
        <w:t xml:space="preserve">لا يوجد ملف وسيط ولا كشف يُعد يدوياً؛ اعتماد المستند في وحدته ينعكس على اللوحة في اللحظة نفسها.</w:t>
      </w:r>
    </w:p>
    <w:p>
      <w:pPr>
        <w:numPr>
          <w:ilvl w:val="0"/>
          <w:numId w:val="1100"/>
        </w:numPr>
        <w:pStyle w:val="Compact"/>
      </w:pPr>
      <w:r>
        <w:t xml:space="preserve">Accounting — القيود والذمم والبنوك الأربعة</w:t>
      </w:r>
    </w:p>
    <w:p>
      <w:pPr>
        <w:numPr>
          <w:ilvl w:val="0"/>
          <w:numId w:val="1100"/>
        </w:numPr>
        <w:pStyle w:val="Compact"/>
      </w:pPr>
      <w:r>
        <w:t xml:space="preserve">إدارة المشاريع — الموازنة ونسبة الإنجاز</w:t>
      </w:r>
    </w:p>
    <w:p>
      <w:pPr>
        <w:numPr>
          <w:ilvl w:val="0"/>
          <w:numId w:val="1100"/>
        </w:numPr>
        <w:pStyle w:val="Compact"/>
      </w:pPr>
      <w:r>
        <w:t xml:space="preserve">الشيكات والخزينة — الحالات وتواريخ الاستحقاق</w:t>
      </w:r>
    </w:p>
    <w:p>
      <w:pPr>
        <w:numPr>
          <w:ilvl w:val="0"/>
          <w:numId w:val="1100"/>
        </w:numPr>
        <w:pStyle w:val="Compact"/>
      </w:pPr>
      <w:r>
        <w:t xml:space="preserve">Inventory — استهلاك المواد لكل مشروع</w:t>
      </w:r>
    </w:p>
    <w:p>
      <w:pPr>
        <w:numPr>
          <w:ilvl w:val="0"/>
          <w:numId w:val="1100"/>
        </w:numPr>
        <w:pStyle w:val="Compact"/>
      </w:pPr>
      <w:r>
        <w:t xml:space="preserve">المعدات والموارد البشرية — التشغيل وتكلفة العمالة</w:t>
      </w:r>
    </w:p>
    <w:p>
      <w:pPr>
        <w:pStyle w:val="Heading3"/>
      </w:pPr>
      <w:bookmarkStart w:id="241" w:name="التصدير-والجدولة"/>
      <w:r>
        <w:t xml:space="preserve">التصدير والجدولة</w:t>
      </w:r>
      <w:bookmarkEnd w:id="241"/>
    </w:p>
    <w:p>
      <w:pPr>
        <w:pStyle w:val="FirstParagraph"/>
      </w:pPr>
      <w:r>
        <w:t xml:space="preserve">التقرير يصل قبل أن يُطلب</w:t>
      </w:r>
    </w:p>
    <w:p>
      <w:pPr>
        <w:pStyle w:val="BodyText"/>
      </w:pPr>
      <w:r>
        <w:t xml:space="preserve">كل لوحة وكل تقرير قابل للتصدير أو للجدولة بإرسال دوري إلى بريد الإدارة بالتوقيت الذي تحدده.</w:t>
      </w:r>
    </w:p>
    <w:p>
      <w:pPr>
        <w:numPr>
          <w:ilvl w:val="0"/>
          <w:numId w:val="1101"/>
        </w:numPr>
        <w:pStyle w:val="Compact"/>
      </w:pPr>
      <w:r>
        <w:t xml:space="preserve">تصدير إلى PDF بترويسة الشركة</w:t>
      </w:r>
    </w:p>
    <w:p>
      <w:pPr>
        <w:numPr>
          <w:ilvl w:val="0"/>
          <w:numId w:val="1101"/>
        </w:numPr>
        <w:pStyle w:val="Compact"/>
      </w:pPr>
      <w:r>
        <w:t xml:space="preserve">تصدير إلى Excel بالبيانات التفصيلية</w:t>
      </w:r>
    </w:p>
    <w:p>
      <w:pPr>
        <w:numPr>
          <w:ilvl w:val="0"/>
          <w:numId w:val="1101"/>
        </w:numPr>
        <w:pStyle w:val="Compact"/>
      </w:pPr>
      <w:r>
        <w:t xml:space="preserve">إرسال دوري يومي أو أسبوعي أو شهري</w:t>
      </w:r>
    </w:p>
    <w:p>
      <w:pPr>
        <w:numPr>
          <w:ilvl w:val="0"/>
          <w:numId w:val="1101"/>
        </w:numPr>
        <w:pStyle w:val="Compact"/>
      </w:pPr>
      <w:r>
        <w:t xml:space="preserve">حفظ التصفية المفضلة لكل مستخدم</w:t>
      </w:r>
    </w:p>
    <w:p>
      <w:pPr>
        <w:numPr>
          <w:ilvl w:val="0"/>
          <w:numId w:val="1101"/>
        </w:numPr>
        <w:pStyle w:val="Compact"/>
      </w:pPr>
      <w:r>
        <w:t xml:space="preserve">نسخة مطبوعة جاهزة لاجتماع الإدارة</w:t>
      </w:r>
    </w:p>
    <w:p>
      <w:pPr>
        <w:pStyle w:val="Heading3"/>
      </w:pPr>
      <w:bookmarkStart w:id="242" w:name="الوصول-من-أي-مكان"/>
      <w:r>
        <w:t xml:space="preserve">الوصول من أي مكان</w:t>
      </w:r>
      <w:bookmarkEnd w:id="242"/>
    </w:p>
    <w:p>
      <w:pPr>
        <w:pStyle w:val="FirstParagraph"/>
      </w:pPr>
      <w:r>
        <w:t xml:space="preserve">استضافة سحابية آمنة</w:t>
      </w:r>
    </w:p>
    <w:p>
      <w:pPr>
        <w:pStyle w:val="BodyText"/>
      </w:pPr>
      <w:r>
        <w:t xml:space="preserve">اللوحات متاحة من المكتب ومن الموقع ومن الجوال على الاستضافة السحابية Odoo.sh ، بنسخ احتياطية منتظمة.</w:t>
      </w:r>
    </w:p>
    <w:p>
      <w:pPr>
        <w:numPr>
          <w:ilvl w:val="0"/>
          <w:numId w:val="1102"/>
        </w:numPr>
        <w:pStyle w:val="Compact"/>
      </w:pPr>
      <w:r>
        <w:t xml:space="preserve">عرض متجاوب على الجوال واللوحي</w:t>
      </w:r>
    </w:p>
    <w:p>
      <w:pPr>
        <w:numPr>
          <w:ilvl w:val="0"/>
          <w:numId w:val="1102"/>
        </w:numPr>
        <w:pStyle w:val="Compact"/>
      </w:pPr>
      <w:r>
        <w:t xml:space="preserve">صلاحية عرض لكل مستخدم من المستخدمين الخمسة عشر</w:t>
      </w:r>
    </w:p>
    <w:p>
      <w:pPr>
        <w:numPr>
          <w:ilvl w:val="0"/>
          <w:numId w:val="1102"/>
        </w:numPr>
        <w:pStyle w:val="Compact"/>
      </w:pPr>
      <w:r>
        <w:t xml:space="preserve">سجل كامل لمن اطّلع ومن عدّل</w:t>
      </w:r>
    </w:p>
    <w:p>
      <w:pPr>
        <w:numPr>
          <w:ilvl w:val="0"/>
          <w:numId w:val="1102"/>
        </w:numPr>
        <w:pStyle w:val="Compact"/>
      </w:pPr>
      <w:r>
        <w:t xml:space="preserve">واجهة عربية بالكامل مع دعم ثنائي اللغة</w:t>
      </w:r>
    </w:p>
    <w:p>
      <w:pPr>
        <w:numPr>
          <w:ilvl w:val="0"/>
          <w:numId w:val="1102"/>
        </w:numPr>
        <w:pStyle w:val="Compact"/>
      </w:pPr>
      <w:r>
        <w:t xml:space="preserve">دعم فني مشمول لمدة 12 شهراً</w:t>
      </w:r>
    </w:p>
    <w:p>
      <w:pPr>
        <w:pStyle w:val="Heading3"/>
      </w:pPr>
      <w:bookmarkStart w:id="243" w:name="تخصيص-لطبيعة-المقاولات"/>
      <w:r>
        <w:t xml:space="preserve">تخصيص لطبيعة المقاولات</w:t>
      </w:r>
      <w:bookmarkEnd w:id="243"/>
    </w:p>
    <w:p>
      <w:pPr>
        <w:pStyle w:val="FirstParagraph"/>
      </w:pPr>
      <w:r>
        <w:t xml:space="preserve">لوحات مفصَّلة على قياس الشركة</w:t>
      </w:r>
    </w:p>
    <w:p>
      <w:pPr>
        <w:pStyle w:val="BodyText"/>
      </w:pPr>
      <w:r>
        <w:t xml:space="preserve">تبني شركة ديكسور للحلول المتكاملة الحاسوبية ذ.م.م. اللوحات على مصطلحات المقاولات ودورة عمل لؤلؤة الشايع، لا على قوالب عامة.</w:t>
      </w:r>
    </w:p>
    <w:p>
      <w:pPr>
        <w:numPr>
          <w:ilvl w:val="0"/>
          <w:numId w:val="1103"/>
        </w:numPr>
        <w:pStyle w:val="Compact"/>
      </w:pPr>
      <w:r>
        <w:t xml:space="preserve">مؤشرات المستخلصات والدفعات المقدمة والمحتجزات</w:t>
      </w:r>
    </w:p>
    <w:p>
      <w:pPr>
        <w:numPr>
          <w:ilvl w:val="0"/>
          <w:numId w:val="1103"/>
        </w:numPr>
        <w:pStyle w:val="Compact"/>
      </w:pPr>
      <w:r>
        <w:t xml:space="preserve">لوحة مناقصات حكومية بمعدل الفوز والقيمة</w:t>
      </w:r>
    </w:p>
    <w:p>
      <w:pPr>
        <w:numPr>
          <w:ilvl w:val="0"/>
          <w:numId w:val="1103"/>
        </w:numPr>
        <w:pStyle w:val="Compact"/>
      </w:pPr>
      <w:r>
        <w:t xml:space="preserve">ربط دفتر شيكات كل مشروع بحسابه البنكي</w:t>
      </w:r>
    </w:p>
    <w:p>
      <w:pPr>
        <w:numPr>
          <w:ilvl w:val="0"/>
          <w:numId w:val="1103"/>
        </w:numPr>
        <w:pStyle w:val="Compact"/>
      </w:pPr>
      <w:r>
        <w:t xml:space="preserve">تقارير إضافية عند الطلب خلال فترة الدعم</w:t>
      </w:r>
    </w:p>
    <w:p>
      <w:pPr>
        <w:numPr>
          <w:ilvl w:val="0"/>
          <w:numId w:val="1103"/>
        </w:numPr>
        <w:pStyle w:val="Compact"/>
      </w:pPr>
      <w:r>
        <w:t xml:space="preserve">تدريب الإدارة على قراءة اللوحات واتخاذ القرار</w:t>
      </w:r>
    </w:p>
    <w:p>
      <w:pPr>
        <w:pStyle w:val="Heading3"/>
      </w:pPr>
      <w:bookmarkStart w:id="244" w:name="اللوحات-في-قلب-المنظومة-كيف-تتصل-الوحدات"/>
      <w:r>
        <w:t xml:space="preserve">اللوحات في قلب المنظومة — كيف تتصل الوحدات</w:t>
      </w:r>
      <w:bookmarkEnd w:id="244"/>
    </w:p>
    <w:p>
      <w:pPr>
        <w:pStyle w:val="FirstParagraph"/>
      </w:pPr>
      <w:r>
        <w:t xml:space="preserve">حركة واحدة في الموقع تصل إلى قرار الإدارة — تُقرأ من اليمين إلى اليسار</w:t>
      </w:r>
    </w:p>
    <w:p>
      <w:pPr>
        <w:pStyle w:val="BodyText"/>
      </w:pPr>
      <w:r>
        <w:t xml:space="preserve">وحدات التشغيل</w:t>
      </w:r>
    </w:p>
    <w:p>
      <w:pPr>
        <w:pStyle w:val="BodyText"/>
      </w:pPr>
      <w:r>
        <w:t xml:space="preserve">المشاريع والمخازن والمعدات والعمالة</w:t>
      </w:r>
    </w:p>
    <w:p>
      <w:pPr>
        <w:pStyle w:val="BodyText"/>
      </w:pPr>
      <w:r>
        <w:t xml:space="preserve">المحاسبة والتحليلي</w:t>
      </w:r>
    </w:p>
    <w:p>
      <w:pPr>
        <w:pStyle w:val="BodyText"/>
      </w:pPr>
      <w:r>
        <w:t xml:space="preserve">قيود ودفاتر مستقلة لكل مشروع</w:t>
      </w:r>
    </w:p>
    <w:p>
      <w:pPr>
        <w:pStyle w:val="BodyText"/>
      </w:pPr>
      <w:r>
        <w:t xml:space="preserve">الشيكات والبنوك</w:t>
      </w:r>
    </w:p>
    <w:p>
      <w:pPr>
        <w:pStyle w:val="BodyText"/>
      </w:pPr>
      <w:r>
        <w:t xml:space="preserve">الحالات والاستحقاقات والتسويات</w:t>
      </w:r>
    </w:p>
    <w:p>
      <w:pPr>
        <w:pStyle w:val="BodyText"/>
      </w:pPr>
      <w:r>
        <w:t xml:space="preserve">لوحات المعلومات</w:t>
      </w:r>
    </w:p>
    <w:p>
      <w:pPr>
        <w:pStyle w:val="BodyText"/>
      </w:pPr>
      <w:r>
        <w:t xml:space="preserve">مجمَّعة للشركة ومستقلة لكل مشروع</w:t>
      </w:r>
    </w:p>
    <w:p>
      <w:pPr>
        <w:pStyle w:val="BodyText"/>
      </w:pPr>
      <w:r>
        <w:t xml:space="preserve">قرار الإدارة</w:t>
      </w:r>
    </w:p>
    <w:p>
      <w:pPr>
        <w:pStyle w:val="BodyText"/>
      </w:pPr>
      <w:r>
        <w:t xml:space="preserve">تنبيه وتقرير مجدول وإجراء تصحيحي</w:t>
      </w:r>
    </w:p>
    <w:p>
      <w:pPr>
        <w:pStyle w:val="BodyText"/>
      </w:pPr>
      <w:r>
        <w:t xml:space="preserve">DEXOR — Systems with Souls</w:t>
      </w:r>
    </w:p>
    <w:p>
      <w:pPr>
        <w:pStyle w:val="BodyText"/>
      </w:pPr>
      <w:r>
        <w:t xml:space="preserve">هذا العرض مُعد خصيصاً لشركة لؤلؤة الشايع للمقاولات العامة والإنشاءات في دولة الكويت. تُضبط اللوحات والمؤشرات وحدود التنبيه على دورة عمل الشركة خلال فترة التنفيذ البالغة من 8 إلى 10 أسابيع، مع دعم فني مشمول لمدة 12 شهراً.</w:t>
      </w:r>
    </w:p>
    <w:p>
      <w:pPr>
        <w:pStyle w:val="Heading2"/>
      </w:pPr>
      <w:bookmarkStart w:id="245" w:name="وحدة-ترحيل-البيانات-data-migration"/>
      <w:r>
        <w:t xml:space="preserve">وحدة ترحيل البيانات (Data Migration)</w:t>
      </w:r>
      <w:bookmarkEnd w:id="245"/>
    </w:p>
    <w:p>
      <w:pPr>
        <w:pStyle w:val="FirstParagraph"/>
      </w:pPr>
      <w:r>
        <w:t xml:space="preserve">وحدة ترحيل البيانات</w:t>
      </w:r>
    </w:p>
    <w:p>
      <w:pPr>
        <w:pStyle w:val="Heading3"/>
      </w:pPr>
      <w:bookmarkStart w:id="246" w:name="نظرة-عامة-على-ترحيل-البيانات"/>
      <w:r>
        <w:t xml:space="preserve">نظرة عامة على ترحيل البيانات</w:t>
      </w:r>
      <w:bookmarkEnd w:id="246"/>
    </w:p>
    <w:p>
      <w:pPr>
        <w:pStyle w:val="FirstParagraph"/>
      </w:pPr>
      <w:r>
        <w:t xml:space="preserve">منهجية منضبطة لنقل بيانات شركة لؤلؤة الشايع من أنظمتها وملفاتها الحالية إلى النظام الجديد، بحيث يبدأ التشغيل بأرصدة صحيحة ومعتمدة لكل حساب ولكل مشروع من اليوم الأول — لا بأرصدة تقديرية ولا ببدايات صفرية.</w:t>
      </w:r>
    </w:p>
    <w:p>
      <w:pPr>
        <w:pStyle w:val="Heading3"/>
      </w:pPr>
      <w:bookmarkStart w:id="247" w:name="نظرة-عامة-على-الوحدة-3"/>
      <w:r>
        <w:t xml:space="preserve">نظرة عامة على الوحدة</w:t>
      </w:r>
      <w:bookmarkEnd w:id="247"/>
    </w:p>
    <w:p>
      <w:pPr>
        <w:pStyle w:val="FirstParagraph"/>
      </w:pPr>
      <w:r>
        <w:t xml:space="preserve">أساس مصداقية النظام من اليوم الأول</w:t>
      </w:r>
    </w:p>
    <w:p>
      <w:pPr>
        <w:pStyle w:val="BodyText"/>
      </w:pPr>
      <w:r>
        <w:t xml:space="preserve">تُنفَّذ وحدة ترحيل البيانات (Data Migration) كمسار مستقل داخل مشروع التطبيق، له مراحله ومخرجاته واعتماداته الخطية، ولا يُطلق النظام قبل إغلاقه رسمياً.</w:t>
      </w:r>
    </w:p>
    <w:p>
      <w:pPr>
        <w:numPr>
          <w:ilvl w:val="0"/>
          <w:numId w:val="1104"/>
        </w:numPr>
        <w:pStyle w:val="Compact"/>
      </w:pPr>
      <w:r>
        <w:t xml:space="preserve">حصر كامل لمصادر البيانات القائمة وملفاتها</w:t>
      </w:r>
    </w:p>
    <w:p>
      <w:pPr>
        <w:numPr>
          <w:ilvl w:val="0"/>
          <w:numId w:val="1104"/>
        </w:numPr>
        <w:pStyle w:val="Compact"/>
      </w:pPr>
      <w:r>
        <w:t xml:space="preserve">تنقية وتوحيد الترميز قبل أي تحميل</w:t>
      </w:r>
    </w:p>
    <w:p>
      <w:pPr>
        <w:numPr>
          <w:ilvl w:val="0"/>
          <w:numId w:val="1104"/>
        </w:numPr>
        <w:pStyle w:val="Compact"/>
      </w:pPr>
      <w:r>
        <w:t xml:space="preserve">تحميل تجريبي ومراجعة قبل التحميل النهائي</w:t>
      </w:r>
    </w:p>
    <w:p>
      <w:pPr>
        <w:numPr>
          <w:ilvl w:val="0"/>
          <w:numId w:val="1104"/>
        </w:numPr>
        <w:pStyle w:val="Compact"/>
      </w:pPr>
      <w:r>
        <w:t xml:space="preserve">اعتماد خطي للأرصدة الافتتاحية قبل الإطلاق</w:t>
      </w:r>
    </w:p>
    <w:p>
      <w:pPr>
        <w:pStyle w:val="Heading3"/>
      </w:pPr>
      <w:bookmarkStart w:id="248" w:name="النطاق-المالي-للترحيل"/>
      <w:r>
        <w:t xml:space="preserve">النطاق المالي للترحيل</w:t>
      </w:r>
      <w:bookmarkEnd w:id="248"/>
    </w:p>
    <w:p>
      <w:pPr>
        <w:pStyle w:val="FirstParagraph"/>
      </w:pPr>
      <w:r>
        <w:t xml:space="preserve">حسابات وذمم وشيكات وأرصدة بنكية</w:t>
      </w:r>
    </w:p>
    <w:p>
      <w:pPr>
        <w:pStyle w:val="BodyText"/>
      </w:pPr>
      <w:r>
        <w:t xml:space="preserve">يغطي النطاق كل ما تحتاجه الإدارة المالية لمتابعة مراكزها من لحظة التشغيل، بحيث تكون ميزان المراجعة وكشوف الذمم مطابقة تماماً لما كان قائماً قبل التحويل.</w:t>
      </w:r>
    </w:p>
    <w:p>
      <w:pPr>
        <w:numPr>
          <w:ilvl w:val="0"/>
          <w:numId w:val="1105"/>
        </w:numPr>
        <w:pStyle w:val="Compact"/>
      </w:pPr>
      <w:r>
        <w:t xml:space="preserve">دليل الحسابات وأرصدته الافتتاحية</w:t>
      </w:r>
    </w:p>
    <w:p>
      <w:pPr>
        <w:numPr>
          <w:ilvl w:val="0"/>
          <w:numId w:val="1105"/>
        </w:numPr>
        <w:pStyle w:val="Compact"/>
      </w:pPr>
      <w:r>
        <w:t xml:space="preserve">بيانات العملاء والموردين ومقاولي الباطن</w:t>
      </w:r>
    </w:p>
    <w:p>
      <w:pPr>
        <w:numPr>
          <w:ilvl w:val="0"/>
          <w:numId w:val="1105"/>
        </w:numPr>
        <w:pStyle w:val="Compact"/>
      </w:pPr>
      <w:r>
        <w:t xml:space="preserve">أرصدة الذمم المدينة والدائنة بأعمارها</w:t>
      </w:r>
    </w:p>
    <w:p>
      <w:pPr>
        <w:numPr>
          <w:ilvl w:val="0"/>
          <w:numId w:val="1105"/>
        </w:numPr>
        <w:pStyle w:val="Compact"/>
      </w:pPr>
      <w:r>
        <w:t xml:space="preserve">الشيكات القائمة تحت التحصيل وأرصدة البنوك الأربعة</w:t>
      </w:r>
    </w:p>
    <w:p>
      <w:pPr>
        <w:pStyle w:val="Heading3"/>
      </w:pPr>
      <w:bookmarkStart w:id="249" w:name="النطاق-التشغيلي-للترحيل"/>
      <w:r>
        <w:t xml:space="preserve">النطاق التشغيلي للترحيل</w:t>
      </w:r>
      <w:bookmarkEnd w:id="249"/>
    </w:p>
    <w:p>
      <w:pPr>
        <w:pStyle w:val="FirstParagraph"/>
      </w:pPr>
      <w:r>
        <w:t xml:space="preserve">مشاريع ومخازن ومعدات وعقود</w:t>
      </w:r>
    </w:p>
    <w:p>
      <w:pPr>
        <w:pStyle w:val="BodyText"/>
      </w:pPr>
      <w:r>
        <w:t xml:space="preserve">لا يقتصر الترحيل على الأرقام المحاسبية؛ فالمشاريع الجارية والمخازن والمعدات هي التي تجعل النظام صالحاً للتشغيل الميداني في اليوم الأول.</w:t>
      </w:r>
    </w:p>
    <w:p>
      <w:pPr>
        <w:numPr>
          <w:ilvl w:val="0"/>
          <w:numId w:val="1106"/>
        </w:numPr>
        <w:pStyle w:val="Compact"/>
      </w:pPr>
      <w:r>
        <w:t xml:space="preserve">المشاريع الجارية بتكاليفها وإيراداتها المتراكمة</w:t>
      </w:r>
    </w:p>
    <w:p>
      <w:pPr>
        <w:numPr>
          <w:ilvl w:val="0"/>
          <w:numId w:val="1106"/>
        </w:numPr>
        <w:pStyle w:val="Compact"/>
      </w:pPr>
      <w:r>
        <w:t xml:space="preserve">العقود والمستخلصات السابقة لكل مشروع</w:t>
      </w:r>
    </w:p>
    <w:p>
      <w:pPr>
        <w:numPr>
          <w:ilvl w:val="0"/>
          <w:numId w:val="1106"/>
        </w:numPr>
        <w:pStyle w:val="Compact"/>
      </w:pPr>
      <w:r>
        <w:t xml:space="preserve">أصناف المواد وأرصدة المخازن لكل موقع</w:t>
      </w:r>
    </w:p>
    <w:p>
      <w:pPr>
        <w:numPr>
          <w:ilvl w:val="0"/>
          <w:numId w:val="1106"/>
        </w:numPr>
        <w:pStyle w:val="Compact"/>
      </w:pPr>
      <w:r>
        <w:t xml:space="preserve">سجل المعدات والآليات وقيمها الدفترية ومجمّع إهلاكها</w:t>
      </w:r>
    </w:p>
    <w:p>
      <w:pPr>
        <w:pStyle w:val="Heading3"/>
      </w:pPr>
      <w:bookmarkStart w:id="250" w:name="المبدأ-الحاكم-للترحيل"/>
      <w:r>
        <w:t xml:space="preserve">المبدأ الحاكم للترحيل</w:t>
      </w:r>
      <w:bookmarkEnd w:id="250"/>
    </w:p>
    <w:p>
      <w:pPr>
        <w:pStyle w:val="FirstParagraph"/>
      </w:pPr>
      <w:r>
        <w:t xml:space="preserve">ربحية محسوبة من بداية المشروع</w:t>
      </w:r>
    </w:p>
    <w:p>
      <w:pPr>
        <w:pStyle w:val="BodyText"/>
      </w:pPr>
      <w:r>
        <w:t xml:space="preserve">يُفتح كل مشروع جارٍ في النظام الجديد بمركز تكلفته وبأرصدته المتراكمة حتى تاريخ التحويل، حتى تظل ربحية المشروع محسوبة من بدايته لا من تاريخ التشغيل.</w:t>
      </w:r>
    </w:p>
    <w:p>
      <w:pPr>
        <w:numPr>
          <w:ilvl w:val="0"/>
          <w:numId w:val="1107"/>
        </w:numPr>
        <w:pStyle w:val="Compact"/>
      </w:pPr>
      <w:r>
        <w:t xml:space="preserve">مركز تكلفة مستقل لكل مشروع يُنشأ قبل التحميل</w:t>
      </w:r>
    </w:p>
    <w:p>
      <w:pPr>
        <w:numPr>
          <w:ilvl w:val="0"/>
          <w:numId w:val="1107"/>
        </w:numPr>
        <w:pStyle w:val="Compact"/>
      </w:pPr>
      <w:r>
        <w:t xml:space="preserve">ترحيل التكاليف والإيرادات المتراكمة لا أرصدة صفرية</w:t>
      </w:r>
    </w:p>
    <w:p>
      <w:pPr>
        <w:numPr>
          <w:ilvl w:val="0"/>
          <w:numId w:val="1107"/>
        </w:numPr>
        <w:pStyle w:val="Compact"/>
      </w:pPr>
      <w:r>
        <w:t xml:space="preserve">ربط كل رصيد مُرحَّل بمشروعه وحسابه ودفتر شيكاته</w:t>
      </w:r>
    </w:p>
    <w:p>
      <w:pPr>
        <w:numPr>
          <w:ilvl w:val="0"/>
          <w:numId w:val="1107"/>
        </w:numPr>
        <w:pStyle w:val="Compact"/>
      </w:pPr>
      <w:r>
        <w:t xml:space="preserve">تقارير الربحية تعمل بمعناها الكامل من أول يوم</w:t>
      </w:r>
    </w:p>
    <w:p>
      <w:pPr>
        <w:pStyle w:val="Heading3"/>
      </w:pPr>
      <w:bookmarkStart w:id="251" w:name="X543e31a739db2986a965b5e098ada4803142088"/>
      <w:r>
        <w:t xml:space="preserve">منهجية الترحيل في 6 مراحل — من الحصر إلى اعتماد الأرصدة</w:t>
      </w:r>
      <w:bookmarkEnd w:id="251"/>
    </w:p>
    <w:p>
      <w:pPr>
        <w:pStyle w:val="FirstParagraph"/>
      </w:pPr>
      <w:r>
        <w:t xml:space="preserve">مراحل متتابعة لا تُفتح أي منها قبل إغلاق سابقتها واعتماد مخرجاتها</w:t>
      </w:r>
    </w:p>
    <w:p>
      <w:pPr>
        <w:pStyle w:val="BodyText"/>
      </w:pPr>
      <w:r>
        <w:t xml:space="preserve">الحصر والتحليل</w:t>
      </w:r>
    </w:p>
    <w:p>
      <w:pPr>
        <w:pStyle w:val="BodyText"/>
      </w:pPr>
      <w:r>
        <w:t xml:space="preserve">جرد المصادر والملفات الحالية</w:t>
      </w:r>
    </w:p>
    <w:p>
      <w:pPr>
        <w:pStyle w:val="BodyText"/>
      </w:pPr>
      <w:r>
        <w:t xml:space="preserve">الاستخراج</w:t>
      </w:r>
    </w:p>
    <w:p>
      <w:pPr>
        <w:pStyle w:val="BodyText"/>
      </w:pPr>
      <w:r>
        <w:t xml:space="preserve">سحب البيانات من الأنظمة القائمة</w:t>
      </w:r>
    </w:p>
    <w:p>
      <w:pPr>
        <w:pStyle w:val="BodyText"/>
      </w:pPr>
      <w:r>
        <w:t xml:space="preserve">التنقية وتوحيد الترميز</w:t>
      </w:r>
    </w:p>
    <w:p>
      <w:pPr>
        <w:pStyle w:val="BodyText"/>
      </w:pPr>
      <w:r>
        <w:t xml:space="preserve">حذف التكرار وتوحيد المسميات</w:t>
      </w:r>
    </w:p>
    <w:p>
      <w:pPr>
        <w:pStyle w:val="BodyText"/>
      </w:pPr>
      <w:r>
        <w:t xml:space="preserve">التحويل والمطابقة</w:t>
      </w:r>
    </w:p>
    <w:p>
      <w:pPr>
        <w:pStyle w:val="BodyText"/>
      </w:pPr>
      <w:r>
        <w:t xml:space="preserve">مواءمة البيانات مع هيكل Odoo</w:t>
      </w:r>
    </w:p>
    <w:p>
      <w:pPr>
        <w:pStyle w:val="BodyText"/>
      </w:pPr>
      <w:r>
        <w:t xml:space="preserve">التحميل التجريبي والمراجعة</w:t>
      </w:r>
    </w:p>
    <w:p>
      <w:pPr>
        <w:pStyle w:val="BodyText"/>
      </w:pPr>
      <w:r>
        <w:t xml:space="preserve">بيئة اختبار ومراجعة مع العميل</w:t>
      </w:r>
    </w:p>
    <w:p>
      <w:pPr>
        <w:pStyle w:val="BodyText"/>
      </w:pPr>
      <w:r>
        <w:t xml:space="preserve">التحميل النهائي</w:t>
      </w:r>
    </w:p>
    <w:p>
      <w:pPr>
        <w:pStyle w:val="BodyText"/>
      </w:pPr>
      <w:r>
        <w:t xml:space="preserve">واعتماد الأرصدة الافتتاحية خطياً</w:t>
      </w:r>
    </w:p>
    <w:p>
      <w:pPr>
        <w:pStyle w:val="BodyText"/>
      </w:pPr>
      <w:r>
        <w:t xml:space="preserve">ملاحظة تنفيذية</w:t>
      </w:r>
    </w:p>
    <w:p>
      <w:pPr>
        <w:pStyle w:val="BodyText"/>
      </w:pPr>
      <w:r>
        <w:t xml:space="preserve">ينفَّذ الترحيل بالتوازي مع مراحل التهيئة ضمن مدة التطبيق البالغة 8–10 أسابيع، وتتولى شركة ديكسور للحلول المتكاملة الحاسوبية ذ.م.م. التنقية والتحويل والتحميل والمطابقة، على أن يوفّر العميل الملفات والأرصدة المعتمدة في مواعيدها.</w:t>
      </w:r>
    </w:p>
    <w:p>
      <w:pPr>
        <w:pStyle w:val="BodyText"/>
      </w:pPr>
      <w:r>
        <w:t xml:space="preserve">وحدة ترحيل البيانات</w:t>
      </w:r>
    </w:p>
    <w:p>
      <w:pPr>
        <w:pStyle w:val="Heading3"/>
      </w:pPr>
      <w:bookmarkStart w:id="252" w:name="مسار-الترحيل-ودورة-العمل"/>
      <w:r>
        <w:t xml:space="preserve">مسار الترحيل ودورة العمل</w:t>
      </w:r>
      <w:bookmarkEnd w:id="252"/>
    </w:p>
    <w:p>
      <w:pPr>
        <w:pStyle w:val="FirstParagraph"/>
      </w:pPr>
      <w:r>
        <w:t xml:space="preserve">مسار مرحلي يقرأ من اليمين إلى اليسار، تُغلق كل مرحلة فيه بمخرَج موثّق قبل الانتقال إلى التالية، وينتهي بمحضر اعتماد خطي للأرصدة الافتتاحية يوقّعه محاسب الشركة.</w:t>
      </w:r>
    </w:p>
    <w:p>
      <w:pPr>
        <w:pStyle w:val="Heading3"/>
      </w:pPr>
      <w:bookmarkStart w:id="253" w:name="الحصر-والتحليل"/>
      <w:r>
        <w:t xml:space="preserve">الحصر والتحليل</w:t>
      </w:r>
      <w:bookmarkEnd w:id="253"/>
    </w:p>
    <w:p>
      <w:pPr>
        <w:pStyle w:val="FirstParagraph"/>
      </w:pPr>
      <w:r>
        <w:t xml:space="preserve">جرد المصادر وتحديد جودة كل ملف</w:t>
      </w:r>
    </w:p>
    <w:p>
      <w:pPr>
        <w:pStyle w:val="Heading3"/>
      </w:pPr>
      <w:bookmarkStart w:id="254" w:name="الاستخراج"/>
      <w:r>
        <w:t xml:space="preserve">الاستخراج</w:t>
      </w:r>
      <w:bookmarkEnd w:id="254"/>
    </w:p>
    <w:p>
      <w:pPr>
        <w:pStyle w:val="FirstParagraph"/>
      </w:pPr>
      <w:r>
        <w:t xml:space="preserve">سحب البيانات من الأنظمة والملفات</w:t>
      </w:r>
    </w:p>
    <w:p>
      <w:pPr>
        <w:pStyle w:val="Heading3"/>
      </w:pPr>
      <w:bookmarkStart w:id="255" w:name="التنقية-والترميز"/>
      <w:r>
        <w:t xml:space="preserve">التنقية والترميز</w:t>
      </w:r>
      <w:bookmarkEnd w:id="255"/>
    </w:p>
    <w:p>
      <w:pPr>
        <w:pStyle w:val="FirstParagraph"/>
      </w:pPr>
      <w:r>
        <w:t xml:space="preserve">دمج المكرَّر وتوحيد المسميات</w:t>
      </w:r>
    </w:p>
    <w:p>
      <w:pPr>
        <w:pStyle w:val="Heading3"/>
      </w:pPr>
      <w:bookmarkStart w:id="256" w:name="التحويل-والمطابقة"/>
      <w:r>
        <w:t xml:space="preserve">التحويل والمطابقة</w:t>
      </w:r>
      <w:bookmarkEnd w:id="256"/>
    </w:p>
    <w:p>
      <w:pPr>
        <w:pStyle w:val="FirstParagraph"/>
      </w:pPr>
      <w:r>
        <w:t xml:space="preserve">مطابقة الحقول مع هيكل Odoo</w:t>
      </w:r>
    </w:p>
    <w:p>
      <w:pPr>
        <w:pStyle w:val="Heading3"/>
      </w:pPr>
      <w:bookmarkStart w:id="257" w:name="التحميل-التجريبي"/>
      <w:r>
        <w:t xml:space="preserve">التحميل التجريبي</w:t>
      </w:r>
      <w:bookmarkEnd w:id="257"/>
    </w:p>
    <w:p>
      <w:pPr>
        <w:pStyle w:val="FirstParagraph"/>
      </w:pPr>
      <w:r>
        <w:t xml:space="preserve">بيئة اختبار ومراجعة عيّنة</w:t>
      </w:r>
    </w:p>
    <w:p>
      <w:pPr>
        <w:pStyle w:val="Heading3"/>
      </w:pPr>
      <w:bookmarkStart w:id="258" w:name="التحميل-النهائي"/>
      <w:r>
        <w:t xml:space="preserve">التحميل النهائي</w:t>
      </w:r>
      <w:bookmarkEnd w:id="258"/>
    </w:p>
    <w:p>
      <w:pPr>
        <w:pStyle w:val="FirstParagraph"/>
      </w:pPr>
      <w:r>
        <w:t xml:space="preserve">واعتماد الأرصدة الافتتاحية</w:t>
      </w:r>
    </w:p>
    <w:p>
      <w:pPr>
        <w:pStyle w:val="Heading3"/>
      </w:pPr>
      <w:bookmarkStart w:id="259" w:name="خطة-التحول-إلى-النظام-الجديد"/>
      <w:r>
        <w:t xml:space="preserve">خطة التحوّل إلى النظام الجديد</w:t>
      </w:r>
      <w:bookmarkEnd w:id="259"/>
    </w:p>
    <w:p>
      <w:pPr>
        <w:pStyle w:val="FirstParagraph"/>
      </w:pPr>
      <w:r>
        <w:t xml:space="preserve">من تجميد النظام القديم إلى التشغيل الفعلي</w:t>
      </w:r>
    </w:p>
    <w:p>
      <w:pPr>
        <w:pStyle w:val="BodyText"/>
      </w:pPr>
      <w:r>
        <w:t xml:space="preserve">يُتفق على تاريخ تحوّل محدد تُجمَّد عنده الإدخالات في النظام القديم، فلا تتحرك الأرصدة أثناء التحميل النهائي ولا تنشأ فروقات لاحقة يصعب تفسيرها.</w:t>
      </w:r>
    </w:p>
    <w:p>
      <w:pPr>
        <w:numPr>
          <w:ilvl w:val="0"/>
          <w:numId w:val="1108"/>
        </w:numPr>
        <w:pStyle w:val="Compact"/>
      </w:pPr>
      <w:r>
        <w:t xml:space="preserve">تجميد الإدخال في النظام القديم في تاريخ متفق عليه</w:t>
      </w:r>
    </w:p>
    <w:p>
      <w:pPr>
        <w:numPr>
          <w:ilvl w:val="0"/>
          <w:numId w:val="1108"/>
        </w:numPr>
        <w:pStyle w:val="Compact"/>
      </w:pPr>
      <w:r>
        <w:t xml:space="preserve">التحميل النهائي للأرصدة والمشاريع والشيكات</w:t>
      </w:r>
    </w:p>
    <w:p>
      <w:pPr>
        <w:numPr>
          <w:ilvl w:val="0"/>
          <w:numId w:val="1108"/>
        </w:numPr>
        <w:pStyle w:val="Compact"/>
      </w:pPr>
      <w:r>
        <w:t xml:space="preserve">مطابقة الإجماليات واعتمادها خطياً قبل الفتح</w:t>
      </w:r>
    </w:p>
    <w:p>
      <w:pPr>
        <w:numPr>
          <w:ilvl w:val="0"/>
          <w:numId w:val="1108"/>
        </w:numPr>
        <w:pStyle w:val="Compact"/>
      </w:pPr>
      <w:r>
        <w:t xml:space="preserve">التشغيل الفعلي مع فترة تشغيل متوازٍ قصيرة عند الحاجة</w:t>
      </w:r>
    </w:p>
    <w:p>
      <w:pPr>
        <w:pStyle w:val="Heading3"/>
      </w:pPr>
      <w:bookmarkStart w:id="260" w:name="توزيع-المسؤوليات"/>
      <w:r>
        <w:t xml:space="preserve">توزيع المسؤوليات</w:t>
      </w:r>
      <w:bookmarkEnd w:id="260"/>
    </w:p>
    <w:p>
      <w:pPr>
        <w:pStyle w:val="FirstParagraph"/>
      </w:pPr>
      <w:r>
        <w:t xml:space="preserve">مسؤوليات مشتركة موثّقة منذ البداية</w:t>
      </w:r>
    </w:p>
    <w:p>
      <w:pPr>
        <w:pStyle w:val="Heading3"/>
      </w:pPr>
      <w:bookmarkStart w:id="261" w:name="Xfc53015c087e3ebbd2645922be6ec509d0096b8"/>
      <w:r>
        <w:t xml:space="preserve">ضوابط الجودة — أربع بوابات لا يمر الترحيل بدونها</w:t>
      </w:r>
      <w:bookmarkEnd w:id="261"/>
    </w:p>
    <w:p>
      <w:pPr>
        <w:pStyle w:val="FirstParagraph"/>
      </w:pPr>
      <w:r>
        <w:t xml:space="preserve">لا يُعتمد ملف واحد قبل اجتياز البوابات الأربع وتوثيق نتيجتها</w:t>
      </w:r>
    </w:p>
    <w:p>
      <w:pPr>
        <w:pStyle w:val="BodyText"/>
      </w:pPr>
      <w:r>
        <w:t xml:space="preserve">مطابقة الإجماليات</w:t>
      </w:r>
    </w:p>
    <w:p>
      <w:pPr>
        <w:pStyle w:val="BodyText"/>
      </w:pPr>
      <w:r>
        <w:t xml:space="preserve">إجمالي كل ملف قبل التحميل وبعده</w:t>
      </w:r>
    </w:p>
    <w:p>
      <w:pPr>
        <w:pStyle w:val="BodyText"/>
      </w:pPr>
      <w:r>
        <w:t xml:space="preserve">تقرير الفروقات</w:t>
      </w:r>
    </w:p>
    <w:p>
      <w:pPr>
        <w:pStyle w:val="BodyText"/>
      </w:pPr>
      <w:r>
        <w:t xml:space="preserve">كل فرق يُفسَّر ويُعالَج ويُغلق</w:t>
      </w:r>
    </w:p>
    <w:p>
      <w:pPr>
        <w:pStyle w:val="BodyText"/>
      </w:pPr>
      <w:r>
        <w:t xml:space="preserve">مراجعة عيّنة يدوية</w:t>
      </w:r>
    </w:p>
    <w:p>
      <w:pPr>
        <w:pStyle w:val="BodyText"/>
      </w:pPr>
      <w:r>
        <w:t xml:space="preserve">بحضور محاسب العميل ومسؤول المشاريع</w:t>
      </w:r>
    </w:p>
    <w:p>
      <w:pPr>
        <w:pStyle w:val="BodyText"/>
      </w:pPr>
      <w:r>
        <w:t xml:space="preserve">اعتماد خطي للأرصدة</w:t>
      </w:r>
    </w:p>
    <w:p>
      <w:pPr>
        <w:pStyle w:val="BodyText"/>
      </w:pPr>
      <w:r>
        <w:t xml:space="preserve">محضر موقّع قبل الإطلاق الفعلي</w:t>
      </w:r>
    </w:p>
    <w:p>
      <w:pPr>
        <w:pStyle w:val="BodyText"/>
      </w:pPr>
      <w:r>
        <w:t xml:space="preserve">ملاحظة على المسار</w:t>
      </w:r>
    </w:p>
    <w:p>
      <w:pPr>
        <w:pStyle w:val="BodyText"/>
      </w:pPr>
      <w:r>
        <w:t xml:space="preserve">تُحفظ نسخة من كل ملف بصيغته الأصلية قبل أي تعديل، ويُحتفظ بسجل كامل لعمليات التنقية والدمج، بحيث يمكن الرجوع إلى مصدر أي رصيد مُرحَّل في أي وقت لاحق.</w:t>
      </w:r>
    </w:p>
    <w:tbl>
      <w:tblPr>
        <w:tblStyle w:val="Table"/>
        <w:tblW w:type="pct" w:w="0.0"/>
        <w:tblLook w:firstRow="1"/>
      </w:tblPr>
      <w:tblGrid/>
      <w:tr>
        <w:trPr>
          <w:cnfStyle w:firstRow="1"/>
        </w:trPr>
        <w:tc>
          <w:tcPr>
            <w:tcBorders>
              <w:bottom w:val="single"/>
            </w:tcBorders>
            <w:vAlign w:val="bottom"/>
          </w:tcPr>
          <w:p>
            <w:pPr>
              <w:pStyle w:val="Compact"/>
              <w:jc w:val="left"/>
            </w:pPr>
            <w:r>
              <w:t xml:space="preserve">توفير الملفات والبيانات الحالية</w:t>
            </w:r>
          </w:p>
        </w:tc>
        <w:tc>
          <w:tcPr>
            <w:tcBorders>
              <w:bottom w:val="single"/>
            </w:tcBorders>
            <w:vAlign w:val="bottom"/>
          </w:tcPr>
          <w:p>
            <w:pPr>
              <w:pStyle w:val="Compact"/>
              <w:jc w:val="left"/>
            </w:pPr>
            <w:r>
              <w:t xml:space="preserve">شركة لؤلؤة الشايع</w:t>
            </w:r>
          </w:p>
        </w:tc>
      </w:tr>
      <w:tr>
        <w:tc>
          <w:p>
            <w:pPr>
              <w:pStyle w:val="Compact"/>
              <w:jc w:val="left"/>
            </w:pPr>
            <w:r>
              <w:t xml:space="preserve">اعتماد الأرصدة الافتتاحية</w:t>
            </w:r>
          </w:p>
        </w:tc>
        <w:tc>
          <w:p>
            <w:pPr>
              <w:pStyle w:val="Compact"/>
              <w:jc w:val="left"/>
            </w:pPr>
            <w:r>
              <w:t xml:space="preserve">شركة لؤلؤة الشايع</w:t>
            </w:r>
          </w:p>
        </w:tc>
      </w:tr>
      <w:tr>
        <w:tc>
          <w:p>
            <w:pPr>
              <w:pStyle w:val="Compact"/>
              <w:jc w:val="left"/>
            </w:pPr>
            <w:r>
              <w:t xml:space="preserve">التنقية وتوحيد الترميز</w:t>
            </w:r>
          </w:p>
        </w:tc>
        <w:tc>
          <w:p>
            <w:pPr>
              <w:pStyle w:val="Compact"/>
              <w:jc w:val="left"/>
            </w:pPr>
            <w:r>
              <w:t xml:space="preserve">شركة ديكسور</w:t>
            </w:r>
          </w:p>
        </w:tc>
      </w:tr>
      <w:tr>
        <w:tc>
          <w:p>
            <w:pPr>
              <w:pStyle w:val="Compact"/>
              <w:jc w:val="left"/>
            </w:pPr>
            <w:r>
              <w:t xml:space="preserve">التحويل والمطابقة مع هيكل Odoo</w:t>
            </w:r>
          </w:p>
        </w:tc>
        <w:tc>
          <w:p>
            <w:pPr>
              <w:pStyle w:val="Compact"/>
              <w:jc w:val="left"/>
            </w:pPr>
            <w:r>
              <w:t xml:space="preserve">شركة ديكسور</w:t>
            </w:r>
          </w:p>
        </w:tc>
      </w:tr>
      <w:tr>
        <w:tc>
          <w:p>
            <w:pPr>
              <w:pStyle w:val="Compact"/>
              <w:jc w:val="left"/>
            </w:pPr>
            <w:r>
              <w:t xml:space="preserve">التحميل التجريبي والنهائي</w:t>
            </w:r>
          </w:p>
        </w:tc>
        <w:tc>
          <w:p>
            <w:pPr>
              <w:pStyle w:val="Compact"/>
              <w:jc w:val="left"/>
            </w:pPr>
            <w:r>
              <w:t xml:space="preserve">شركة ديكسور</w:t>
            </w:r>
          </w:p>
        </w:tc>
      </w:tr>
      <w:tr>
        <w:tc>
          <w:p>
            <w:pPr>
              <w:pStyle w:val="Compact"/>
              <w:jc w:val="left"/>
            </w:pPr>
            <w:r>
              <w:t xml:space="preserve">مراجعة العيّنة اليدوية</w:t>
            </w:r>
          </w:p>
        </w:tc>
        <w:tc>
          <w:p>
            <w:pPr>
              <w:pStyle w:val="Compact"/>
              <w:jc w:val="left"/>
            </w:pPr>
            <w:r>
              <w:t xml:space="preserve">مسؤولية مشتركة</w:t>
            </w:r>
          </w:p>
        </w:tc>
      </w:tr>
    </w:tbl>
    <w:p>
      <w:pPr>
        <w:pStyle w:val="BodyText"/>
      </w:pPr>
      <w:r>
        <w:t xml:space="preserve">وحدة ترحيل البيانات</w:t>
      </w:r>
    </w:p>
    <w:p>
      <w:pPr>
        <w:pStyle w:val="Heading3"/>
      </w:pPr>
      <w:bookmarkStart w:id="262" w:name="الوظائف-والإمكانات-6"/>
      <w:r>
        <w:t xml:space="preserve">الوظائف والإمكانات</w:t>
      </w:r>
      <w:bookmarkEnd w:id="262"/>
    </w:p>
    <w:p>
      <w:pPr>
        <w:pStyle w:val="FirstParagraph"/>
      </w:pPr>
      <w:r>
        <w:t xml:space="preserve">تفصيل ما يُرحَّل فعلياً لشركة مقاولات عامة تدير مشاريع متعددة ومواقع متفرقة — من دليل الحسابات وأرصدته حتى سجل المعدات والآليات ومجمّع إهلاكها.</w:t>
      </w:r>
    </w:p>
    <w:p>
      <w:pPr>
        <w:pStyle w:val="Heading3"/>
      </w:pPr>
      <w:bookmarkStart w:id="263" w:name="دليل-الحسابات-والأرصدة-البنكية"/>
      <w:r>
        <w:t xml:space="preserve">دليل الحسابات والأرصدة البنكية</w:t>
      </w:r>
      <w:bookmarkEnd w:id="263"/>
    </w:p>
    <w:p>
      <w:pPr>
        <w:pStyle w:val="FirstParagraph"/>
      </w:pPr>
      <w:r>
        <w:t xml:space="preserve">أربعة حسابات بنكية تُطابَق كل على حدة</w:t>
      </w:r>
    </w:p>
    <w:p>
      <w:pPr>
        <w:pStyle w:val="BodyText"/>
      </w:pPr>
      <w:r>
        <w:t xml:space="preserve">يُعاد بناء دليل الحسابات بهيكل يخدم تقارير المقاولات ومراكز تكلفة المشاريع، ثم تُحمَّل الأرصدة الافتتاحية عليه بعد اعتمادها من الإدارة المالية.</w:t>
      </w:r>
    </w:p>
    <w:p>
      <w:pPr>
        <w:numPr>
          <w:ilvl w:val="0"/>
          <w:numId w:val="1109"/>
        </w:numPr>
        <w:pStyle w:val="Compact"/>
      </w:pPr>
      <w:r>
        <w:t xml:space="preserve">دليل حسابات مُهيكل بمستوياته وحساباته الختامية</w:t>
      </w:r>
    </w:p>
    <w:p>
      <w:pPr>
        <w:numPr>
          <w:ilvl w:val="0"/>
          <w:numId w:val="1109"/>
        </w:numPr>
        <w:pStyle w:val="Compact"/>
      </w:pPr>
      <w:r>
        <w:t xml:space="preserve">الأرصدة الافتتاحية لكل حساب بتاريخ التحويل</w:t>
      </w:r>
    </w:p>
    <w:p>
      <w:pPr>
        <w:numPr>
          <w:ilvl w:val="0"/>
          <w:numId w:val="1109"/>
        </w:numPr>
        <w:pStyle w:val="Compact"/>
      </w:pPr>
      <w:r>
        <w:t xml:space="preserve">أرصدة الحسابات البنكية الأربعة ومطابقتها بكشوف البنوك</w:t>
      </w:r>
    </w:p>
    <w:p>
      <w:pPr>
        <w:numPr>
          <w:ilvl w:val="0"/>
          <w:numId w:val="1109"/>
        </w:numPr>
        <w:pStyle w:val="Compact"/>
      </w:pPr>
      <w:r>
        <w:t xml:space="preserve">ربط كل حساب بمركز التكلفة والمشروع الخاص به</w:t>
      </w:r>
    </w:p>
    <w:p>
      <w:pPr>
        <w:pStyle w:val="Heading3"/>
      </w:pPr>
      <w:bookmarkStart w:id="264" w:name="العملاء-والموردون-ومقاولو-الباطن"/>
      <w:r>
        <w:t xml:space="preserve">العملاء والموردون ومقاولو الباطن</w:t>
      </w:r>
      <w:bookmarkEnd w:id="264"/>
    </w:p>
    <w:p>
      <w:pPr>
        <w:pStyle w:val="FirstParagraph"/>
      </w:pPr>
      <w:r>
        <w:t xml:space="preserve">ذمم مدينة ودائنة بأعمارها الحقيقية</w:t>
      </w:r>
    </w:p>
    <w:p>
      <w:pPr>
        <w:pStyle w:val="BodyText"/>
      </w:pPr>
      <w:r>
        <w:t xml:space="preserve">لا تُرحَّل الذمم كرصيد إجمالي واحد، بل بأعمارها وفواتيرها المفتوحة، حتى يعمل تقرير أعمار الديون ومتابعة التحصيل من أول يوم دون إعادة إدخال.</w:t>
      </w:r>
    </w:p>
    <w:p>
      <w:pPr>
        <w:numPr>
          <w:ilvl w:val="0"/>
          <w:numId w:val="1110"/>
        </w:numPr>
        <w:pStyle w:val="Compact"/>
      </w:pPr>
      <w:r>
        <w:t xml:space="preserve">بطاقات العملاء والموردين ومقاولي الباطن كاملة</w:t>
      </w:r>
    </w:p>
    <w:p>
      <w:pPr>
        <w:numPr>
          <w:ilvl w:val="0"/>
          <w:numId w:val="1110"/>
        </w:numPr>
        <w:pStyle w:val="Compact"/>
      </w:pPr>
      <w:r>
        <w:t xml:space="preserve">أرصدة الذمم المدينة والدائنة موزّعة على أعمارها</w:t>
      </w:r>
    </w:p>
    <w:p>
      <w:pPr>
        <w:numPr>
          <w:ilvl w:val="0"/>
          <w:numId w:val="1110"/>
        </w:numPr>
        <w:pStyle w:val="Compact"/>
      </w:pPr>
      <w:r>
        <w:t xml:space="preserve">الفواتير والمستخلصات المفتوحة غير المسدَّدة</w:t>
      </w:r>
    </w:p>
    <w:p>
      <w:pPr>
        <w:numPr>
          <w:ilvl w:val="0"/>
          <w:numId w:val="1110"/>
        </w:numPr>
        <w:pStyle w:val="Compact"/>
      </w:pPr>
      <w:r>
        <w:t xml:space="preserve">سجل السداد السابق لكل عميل ومورد للرجوع إليه</w:t>
      </w:r>
    </w:p>
    <w:p>
      <w:pPr>
        <w:pStyle w:val="Heading3"/>
      </w:pPr>
      <w:bookmarkStart w:id="265" w:name="الشيكات-القائمة-تحت-التحصيل"/>
      <w:r>
        <w:t xml:space="preserve">الشيكات القائمة تحت التحصيل</w:t>
      </w:r>
      <w:bookmarkEnd w:id="265"/>
    </w:p>
    <w:p>
      <w:pPr>
        <w:pStyle w:val="FirstParagraph"/>
      </w:pPr>
      <w:r>
        <w:t xml:space="preserve">بتواريخ استحقاقها وحالتها الفعلية</w:t>
      </w:r>
    </w:p>
    <w:p>
      <w:pPr>
        <w:pStyle w:val="BodyText"/>
      </w:pPr>
      <w:r>
        <w:t xml:space="preserve">لأن التحصيل يتم في الغالب بالشيكات، يُرحَّل كل شيك قائم بقيمته وتاريخ استحقاقه وحالته وبنكه، مرتبطاً بمشروعه وعميله ودفتر شيكاته.</w:t>
      </w:r>
    </w:p>
    <w:p>
      <w:pPr>
        <w:numPr>
          <w:ilvl w:val="0"/>
          <w:numId w:val="1111"/>
        </w:numPr>
        <w:pStyle w:val="Compact"/>
      </w:pPr>
      <w:r>
        <w:t xml:space="preserve">رقم الشيك وقيمته وبنكه وتاريخ استحقاقه</w:t>
      </w:r>
    </w:p>
    <w:p>
      <w:pPr>
        <w:numPr>
          <w:ilvl w:val="0"/>
          <w:numId w:val="1111"/>
        </w:numPr>
        <w:pStyle w:val="Compact"/>
      </w:pPr>
      <w:r>
        <w:t xml:space="preserve">حالته: تحت التحصيل، مودَع، محصَّل، مرتجع</w:t>
      </w:r>
    </w:p>
    <w:p>
      <w:pPr>
        <w:numPr>
          <w:ilvl w:val="0"/>
          <w:numId w:val="1111"/>
        </w:numPr>
        <w:pStyle w:val="Compact"/>
      </w:pPr>
      <w:r>
        <w:t xml:space="preserve">ربط كل شيك بمشروعه وبحسابه المالي</w:t>
      </w:r>
    </w:p>
    <w:p>
      <w:pPr>
        <w:numPr>
          <w:ilvl w:val="0"/>
          <w:numId w:val="1111"/>
        </w:numPr>
        <w:pStyle w:val="Compact"/>
      </w:pPr>
      <w:r>
        <w:t xml:space="preserve">ترحيل دفاتر الشيكات المخصَّصة لكل مشروع</w:t>
      </w:r>
    </w:p>
    <w:p>
      <w:pPr>
        <w:pStyle w:val="Heading3"/>
      </w:pPr>
      <w:bookmarkStart w:id="266" w:name="المشاريع-الجارية-والعقود"/>
      <w:r>
        <w:t xml:space="preserve">المشاريع الجارية والعقود</w:t>
      </w:r>
      <w:bookmarkEnd w:id="266"/>
    </w:p>
    <w:p>
      <w:pPr>
        <w:pStyle w:val="FirstParagraph"/>
      </w:pPr>
      <w:r>
        <w:t xml:space="preserve">تكاليف وإيرادات متراكمة حتى تاريخ التحويل</w:t>
      </w:r>
    </w:p>
    <w:p>
      <w:pPr>
        <w:pStyle w:val="BodyText"/>
      </w:pPr>
      <w:r>
        <w:t xml:space="preserve">يُفتح كل مشروع جارٍ بمركز تكلفته وبما تراكم عليه من تكاليف وإيرادات، فلا تبدأ ربحيته من الصفر ولا تفقد الإدارة تاريخه السابق.</w:t>
      </w:r>
    </w:p>
    <w:p>
      <w:pPr>
        <w:numPr>
          <w:ilvl w:val="0"/>
          <w:numId w:val="1112"/>
        </w:numPr>
        <w:pStyle w:val="Compact"/>
      </w:pPr>
      <w:r>
        <w:t xml:space="preserve">المشاريع الجارية ومراكز تكلفتها ومواقعها</w:t>
      </w:r>
    </w:p>
    <w:p>
      <w:pPr>
        <w:numPr>
          <w:ilvl w:val="0"/>
          <w:numId w:val="1112"/>
        </w:numPr>
        <w:pStyle w:val="Compact"/>
      </w:pPr>
      <w:r>
        <w:t xml:space="preserve">التكاليف والإيرادات المتراكمة حتى تاريخ التحويل</w:t>
      </w:r>
    </w:p>
    <w:p>
      <w:pPr>
        <w:numPr>
          <w:ilvl w:val="0"/>
          <w:numId w:val="1112"/>
        </w:numPr>
        <w:pStyle w:val="Compact"/>
      </w:pPr>
      <w:r>
        <w:t xml:space="preserve">العقود وقيمها وشروط الدفع والضمانات المحتجزة</w:t>
      </w:r>
    </w:p>
    <w:p>
      <w:pPr>
        <w:numPr>
          <w:ilvl w:val="0"/>
          <w:numId w:val="1112"/>
        </w:numPr>
        <w:pStyle w:val="Compact"/>
      </w:pPr>
      <w:r>
        <w:t xml:space="preserve">المستخلصات السابقة المعتمدة وأرصدتها غير المحصَّلة</w:t>
      </w:r>
    </w:p>
    <w:p>
      <w:pPr>
        <w:pStyle w:val="Heading3"/>
      </w:pPr>
      <w:bookmarkStart w:id="267" w:name="X0db0bffeda34b011ed19a9793e9eb0a86e5ced0"/>
      <w:r>
        <w:t xml:space="preserve">المخازن والمواد والمعدات — ما يُرحَّل من الجانب العيني</w:t>
      </w:r>
      <w:bookmarkEnd w:id="267"/>
    </w:p>
    <w:p>
      <w:pPr>
        <w:pStyle w:val="FirstParagraph"/>
      </w:pPr>
      <w:r>
        <w:t xml:space="preserve">أرصدة فعلية لكل موقع، وسجل أصول يحفظ القيمة الدفترية ومجمّع الإهلاك</w:t>
      </w:r>
    </w:p>
    <w:p>
      <w:pPr>
        <w:pStyle w:val="BodyText"/>
      </w:pPr>
      <w:r>
        <w:t xml:space="preserve">أصناف المواد</w:t>
      </w:r>
    </w:p>
    <w:p>
      <w:pPr>
        <w:pStyle w:val="BodyText"/>
      </w:pPr>
      <w:r>
        <w:t xml:space="preserve">ترميز موحّد ووحدات قياس منضبطة</w:t>
      </w:r>
    </w:p>
    <w:p>
      <w:pPr>
        <w:pStyle w:val="BodyText"/>
      </w:pPr>
      <w:r>
        <w:t xml:space="preserve">أرصدة كل موقع</w:t>
      </w:r>
    </w:p>
    <w:p>
      <w:pPr>
        <w:pStyle w:val="BodyText"/>
      </w:pPr>
      <w:r>
        <w:t xml:space="preserve">كمية وقيمة لكل مخزن ومشروع</w:t>
      </w:r>
    </w:p>
    <w:p>
      <w:pPr>
        <w:pStyle w:val="BodyText"/>
      </w:pPr>
      <w:r>
        <w:t xml:space="preserve">سجل المعدات والآليات</w:t>
      </w:r>
    </w:p>
    <w:p>
      <w:pPr>
        <w:pStyle w:val="BodyText"/>
      </w:pPr>
      <w:r>
        <w:t xml:space="preserve">كل معدة بموقعها ومشروعها الحالي</w:t>
      </w:r>
    </w:p>
    <w:p>
      <w:pPr>
        <w:pStyle w:val="BodyText"/>
      </w:pPr>
      <w:r>
        <w:t xml:space="preserve">القيم الدفترية</w:t>
      </w:r>
    </w:p>
    <w:p>
      <w:pPr>
        <w:pStyle w:val="BodyText"/>
      </w:pPr>
      <w:r>
        <w:t xml:space="preserve">تكلفة الاقتناء وتاريخ الشراء</w:t>
      </w:r>
    </w:p>
    <w:p>
      <w:pPr>
        <w:pStyle w:val="BodyText"/>
      </w:pPr>
      <w:r>
        <w:t xml:space="preserve">مجمّع الإهلاك</w:t>
      </w:r>
    </w:p>
    <w:p>
      <w:pPr>
        <w:pStyle w:val="BodyText"/>
      </w:pPr>
      <w:r>
        <w:t xml:space="preserve">يستكمل جدول الإهلاك من نقطته</w:t>
      </w:r>
    </w:p>
    <w:p>
      <w:pPr>
        <w:pStyle w:val="BodyText"/>
      </w:pPr>
      <w:r>
        <w:t xml:space="preserve">ملاحظة على النطاق</w:t>
      </w:r>
    </w:p>
    <w:p>
      <w:pPr>
        <w:pStyle w:val="BodyText"/>
      </w:pPr>
      <w:r>
        <w:t xml:space="preserve">يُسلَّم للعميل قبل بدء الاستخراج نموذج جمع بيانات لكل ملف من الملفات أعلاه، محدَّد الأعمدة والصيغة، ما يختصر زمن التنقية ويمنع تكرار طلب البيانات أكثر من مرة.</w:t>
      </w:r>
    </w:p>
    <w:p>
      <w:pPr>
        <w:pStyle w:val="BodyText"/>
      </w:pPr>
      <w:r>
        <w:t xml:space="preserve">وحدة ترحيل البيانات</w:t>
      </w:r>
    </w:p>
    <w:p>
      <w:pPr>
        <w:pStyle w:val="Heading3"/>
      </w:pPr>
      <w:bookmarkStart w:id="268" w:name="التقارير-والتحليلات-4"/>
      <w:r>
        <w:t xml:space="preserve">التقارير والتحليلات</w:t>
      </w:r>
      <w:bookmarkEnd w:id="268"/>
    </w:p>
    <w:p>
      <w:pPr>
        <w:pStyle w:val="FirstParagraph"/>
      </w:pPr>
      <w:r>
        <w:t xml:space="preserve">الترحيل عملية تُقاس ولا تُوصف. لكل ملف تقرير مطابقة، ولكل فرق تقرير معالجة، ولكل مرحلة مؤشرات جودة تُعرض على الإدارة قبل التوقيع على الأرصدة الافتتاحية.</w:t>
      </w:r>
    </w:p>
    <w:p>
      <w:pPr>
        <w:pStyle w:val="Heading3"/>
      </w:pPr>
      <w:bookmarkStart w:id="269" w:name="تقرير-المطابقة-لكل-ملف"/>
      <w:r>
        <w:t xml:space="preserve">تقرير المطابقة لكل ملف</w:t>
      </w:r>
      <w:bookmarkEnd w:id="269"/>
    </w:p>
    <w:p>
      <w:pPr>
        <w:pStyle w:val="FirstParagraph"/>
      </w:pPr>
      <w:r>
        <w:t xml:space="preserve">الإجماليات قبل التحميل وبعده</w:t>
      </w:r>
    </w:p>
    <w:p>
      <w:pPr>
        <w:pStyle w:val="BodyText"/>
      </w:pPr>
      <w:r>
        <w:t xml:space="preserve">يُصدر لكل ملف مُرحَّل تقرير يقارن عدد السجلات والمبالغ في المصدر بما تم تحميله فعلياً، ولا يُغلق الملف إلا بتطابق تام موقّع من الطرفين.</w:t>
      </w:r>
    </w:p>
    <w:p>
      <w:pPr>
        <w:numPr>
          <w:ilvl w:val="0"/>
          <w:numId w:val="1113"/>
        </w:numPr>
        <w:pStyle w:val="Compact"/>
      </w:pPr>
      <w:r>
        <w:t xml:space="preserve">عدد السجلات في المصدر مقابل الوجهة</w:t>
      </w:r>
    </w:p>
    <w:p>
      <w:pPr>
        <w:numPr>
          <w:ilvl w:val="0"/>
          <w:numId w:val="1113"/>
        </w:numPr>
        <w:pStyle w:val="Compact"/>
      </w:pPr>
      <w:r>
        <w:t xml:space="preserve">إجمالي المبالغ المدينة والدائنة لكل ملف</w:t>
      </w:r>
    </w:p>
    <w:p>
      <w:pPr>
        <w:numPr>
          <w:ilvl w:val="0"/>
          <w:numId w:val="1113"/>
        </w:numPr>
        <w:pStyle w:val="Compact"/>
      </w:pPr>
      <w:r>
        <w:t xml:space="preserve">توقيع المراجعة من محاسب الشركة</w:t>
      </w:r>
    </w:p>
    <w:p>
      <w:pPr>
        <w:numPr>
          <w:ilvl w:val="0"/>
          <w:numId w:val="1113"/>
        </w:numPr>
        <w:pStyle w:val="Compact"/>
      </w:pPr>
      <w:r>
        <w:t xml:space="preserve">أرشفة التقرير ضمن ملف المشروع للرجوع إليه</w:t>
      </w:r>
    </w:p>
    <w:p>
      <w:pPr>
        <w:pStyle w:val="Heading3"/>
      </w:pPr>
      <w:bookmarkStart w:id="270" w:name="تقرير-الفروقات-ومعالجتها"/>
      <w:r>
        <w:t xml:space="preserve">تقرير الفروقات ومعالجتها</w:t>
      </w:r>
      <w:bookmarkEnd w:id="270"/>
    </w:p>
    <w:p>
      <w:pPr>
        <w:pStyle w:val="FirstParagraph"/>
      </w:pPr>
      <w:r>
        <w:t xml:space="preserve">لا يُترك فرق واحد دون تفسير</w:t>
      </w:r>
    </w:p>
    <w:p>
      <w:pPr>
        <w:pStyle w:val="BodyText"/>
      </w:pPr>
      <w:r>
        <w:t xml:space="preserve">كل سجل مرفوض أو رصيد مختلف يُدرج في تقرير الفروقات مع سببه وخطة معالجته، وتُعاد المحاولة حتى إغلاق الفرق نهائياً قبل الاعتماد.</w:t>
      </w:r>
    </w:p>
    <w:p>
      <w:pPr>
        <w:numPr>
          <w:ilvl w:val="0"/>
          <w:numId w:val="1114"/>
        </w:numPr>
        <w:pStyle w:val="Compact"/>
      </w:pPr>
      <w:r>
        <w:t xml:space="preserve">بيان بالسجلات المرفوضة وسبب رفض كل منها</w:t>
      </w:r>
    </w:p>
    <w:p>
      <w:pPr>
        <w:numPr>
          <w:ilvl w:val="0"/>
          <w:numId w:val="1114"/>
        </w:numPr>
        <w:pStyle w:val="Compact"/>
      </w:pPr>
      <w:r>
        <w:t xml:space="preserve">فروقات الأرصدة مفسَّرة بنداً بنداً</w:t>
      </w:r>
    </w:p>
    <w:p>
      <w:pPr>
        <w:numPr>
          <w:ilvl w:val="0"/>
          <w:numId w:val="1114"/>
        </w:numPr>
        <w:pStyle w:val="Compact"/>
      </w:pPr>
      <w:r>
        <w:t xml:space="preserve">خطة معالجة وإعادة تحميل للسجلات المرفوضة</w:t>
      </w:r>
    </w:p>
    <w:p>
      <w:pPr>
        <w:numPr>
          <w:ilvl w:val="0"/>
          <w:numId w:val="1114"/>
        </w:numPr>
        <w:pStyle w:val="Compact"/>
      </w:pPr>
      <w:r>
        <w:t xml:space="preserve">إغلاق كل فرق موثّق قبل التحميل النهائي</w:t>
      </w:r>
    </w:p>
    <w:p>
      <w:pPr>
        <w:pStyle w:val="Heading3"/>
      </w:pPr>
      <w:bookmarkStart w:id="271" w:name="سجل-التكرارات-والدمج"/>
      <w:r>
        <w:t xml:space="preserve">سجل التكرارات والدمج</w:t>
      </w:r>
      <w:bookmarkEnd w:id="271"/>
    </w:p>
    <w:p>
      <w:pPr>
        <w:pStyle w:val="FirstParagraph"/>
      </w:pPr>
      <w:r>
        <w:t xml:space="preserve">قاعدة بيانات نظيفة غير مكرَّرة</w:t>
      </w:r>
    </w:p>
    <w:p>
      <w:pPr>
        <w:pStyle w:val="BodyText"/>
      </w:pPr>
      <w:r>
        <w:t xml:space="preserve">تكرار العملاء والموردين والأصناف هو أكثر ما يفسد التقارير. تُكتشف التكرارات آلياً وتُدمج بقرار موثّق، مع الاحتفاظ بسجل الدمج كاملاً.</w:t>
      </w:r>
    </w:p>
    <w:p>
      <w:pPr>
        <w:numPr>
          <w:ilvl w:val="0"/>
          <w:numId w:val="1115"/>
        </w:numPr>
        <w:pStyle w:val="Compact"/>
      </w:pPr>
      <w:r>
        <w:t xml:space="preserve">كشف العملاء والموردين المكرَّرين آلياً</w:t>
      </w:r>
    </w:p>
    <w:p>
      <w:pPr>
        <w:numPr>
          <w:ilvl w:val="0"/>
          <w:numId w:val="1115"/>
        </w:numPr>
        <w:pStyle w:val="Compact"/>
      </w:pPr>
      <w:r>
        <w:t xml:space="preserve">دمج السجلات مع الاحتفاظ بحركتها التاريخية</w:t>
      </w:r>
    </w:p>
    <w:p>
      <w:pPr>
        <w:numPr>
          <w:ilvl w:val="0"/>
          <w:numId w:val="1115"/>
        </w:numPr>
        <w:pStyle w:val="Compact"/>
      </w:pPr>
      <w:r>
        <w:t xml:space="preserve">توحيد ترميز الأصناف ووحدات القياس</w:t>
      </w:r>
    </w:p>
    <w:p>
      <w:pPr>
        <w:numPr>
          <w:ilvl w:val="0"/>
          <w:numId w:val="1115"/>
        </w:numPr>
        <w:pStyle w:val="Compact"/>
      </w:pPr>
      <w:r>
        <w:t xml:space="preserve">توحيد مسميات المشاريع ومراكز التكلفة</w:t>
      </w:r>
    </w:p>
    <w:p>
      <w:pPr>
        <w:pStyle w:val="Heading3"/>
      </w:pPr>
      <w:bookmarkStart w:id="272" w:name="اكتمال-البيانات-والاعتماد"/>
      <w:r>
        <w:t xml:space="preserve">اكتمال البيانات والاعتماد</w:t>
      </w:r>
      <w:bookmarkEnd w:id="272"/>
    </w:p>
    <w:p>
      <w:pPr>
        <w:pStyle w:val="FirstParagraph"/>
      </w:pPr>
      <w:r>
        <w:t xml:space="preserve">مراجعة عيّنة يدوية واعتماد خطي</w:t>
      </w:r>
    </w:p>
    <w:p>
      <w:pPr>
        <w:pStyle w:val="BodyText"/>
      </w:pPr>
      <w:r>
        <w:t xml:space="preserve">تُقاس نسبة اكتمال الحقول الإلزامية لكل جدول، وتُراجع عيّنة يدوياً مع محاسب الشركة، ثم تُغلق مرحلة الترحيل بمحضر اعتماد موقّع.</w:t>
      </w:r>
    </w:p>
    <w:p>
      <w:pPr>
        <w:numPr>
          <w:ilvl w:val="0"/>
          <w:numId w:val="1116"/>
        </w:numPr>
        <w:pStyle w:val="Compact"/>
      </w:pPr>
      <w:r>
        <w:t xml:space="preserve">نسبة اكتمال الحقول الإلزامية لكل جدول</w:t>
      </w:r>
    </w:p>
    <w:p>
      <w:pPr>
        <w:numPr>
          <w:ilvl w:val="0"/>
          <w:numId w:val="1116"/>
        </w:numPr>
        <w:pStyle w:val="Compact"/>
      </w:pPr>
      <w:r>
        <w:t xml:space="preserve">مراجعة عيّنة يدوية مع محاسب الشركة</w:t>
      </w:r>
    </w:p>
    <w:p>
      <w:pPr>
        <w:numPr>
          <w:ilvl w:val="0"/>
          <w:numId w:val="1116"/>
        </w:numPr>
        <w:pStyle w:val="Compact"/>
      </w:pPr>
      <w:r>
        <w:t xml:space="preserve">محضر اعتماد خطي للأرصدة الافتتاحية</w:t>
      </w:r>
    </w:p>
    <w:p>
      <w:pPr>
        <w:numPr>
          <w:ilvl w:val="0"/>
          <w:numId w:val="1116"/>
        </w:numPr>
        <w:pStyle w:val="Compact"/>
      </w:pPr>
      <w:r>
        <w:t xml:space="preserve">إغلاق رسمي لمرحلة الترحيل قبل الإطلاق</w:t>
      </w:r>
    </w:p>
    <w:p>
      <w:pPr>
        <w:pStyle w:val="Heading3"/>
      </w:pPr>
      <w:bookmarkStart w:id="273" w:name="مؤشرات-جودة-الترحيل-لوحة-متابعة-الإدارة"/>
      <w:r>
        <w:t xml:space="preserve">مؤشرات جودة الترحيل — لوحة متابعة الإدارة</w:t>
      </w:r>
      <w:bookmarkEnd w:id="273"/>
    </w:p>
    <w:p>
      <w:pPr>
        <w:pStyle w:val="FirstParagraph"/>
      </w:pPr>
      <w:r>
        <w:t xml:space="preserve">مؤشرات تُعرض على الإدارة عند إغلاق كل مرحلة وقبل التوقيع النهائي</w:t>
      </w:r>
    </w:p>
    <w:p>
      <w:pPr>
        <w:pStyle w:val="BodyText"/>
      </w:pPr>
      <w:r>
        <w:t xml:space="preserve">100%</w:t>
      </w:r>
    </w:p>
    <w:p>
      <w:pPr>
        <w:pStyle w:val="BodyText"/>
      </w:pPr>
      <w:r>
        <w:t xml:space="preserve">السجلات المُرحَّلة بنجاح</w:t>
      </w:r>
    </w:p>
    <w:p>
      <w:pPr>
        <w:pStyle w:val="BodyText"/>
      </w:pPr>
      <w:r>
        <w:t xml:space="preserve">الهدف المعتمد لكل ملف قبل إغلاقه</w:t>
      </w:r>
    </w:p>
    <w:p>
      <w:pPr>
        <w:pStyle w:val="BodyText"/>
      </w:pPr>
      <w:r>
        <w:t xml:space="preserve">فروقات المطابقة</w:t>
      </w:r>
    </w:p>
    <w:p>
      <w:pPr>
        <w:pStyle w:val="BodyText"/>
      </w:pPr>
      <w:r>
        <w:t xml:space="preserve">لا يُعتمد ملف عليه فرق غير مفسَّر</w:t>
      </w:r>
    </w:p>
    <w:p>
      <w:pPr>
        <w:pStyle w:val="BodyText"/>
      </w:pPr>
      <w:r>
        <w:t xml:space="preserve">عدد</w:t>
      </w:r>
    </w:p>
    <w:p>
      <w:pPr>
        <w:pStyle w:val="BodyText"/>
      </w:pPr>
      <w:r>
        <w:t xml:space="preserve">السجلات المكرَّرة المدمجة</w:t>
      </w:r>
    </w:p>
    <w:p>
      <w:pPr>
        <w:pStyle w:val="BodyText"/>
      </w:pPr>
      <w:r>
        <w:t xml:space="preserve">موثّقة في سجل الدمج بقرار مراجَع</w:t>
      </w:r>
    </w:p>
    <w:p>
      <w:pPr>
        <w:pStyle w:val="BodyText"/>
      </w:pPr>
      <w:r>
        <w:t xml:space="preserve">اكتمال البيانات الأساسية</w:t>
      </w:r>
    </w:p>
    <w:p>
      <w:pPr>
        <w:pStyle w:val="BodyText"/>
      </w:pPr>
      <w:r>
        <w:t xml:space="preserve">الحقول الإلزامية في كل جدول</w:t>
      </w:r>
    </w:p>
    <w:p>
      <w:pPr>
        <w:pStyle w:val="BodyText"/>
      </w:pPr>
      <w:r>
        <w:t xml:space="preserve">حسابات بنكية مطابَقة</w:t>
      </w:r>
    </w:p>
    <w:p>
      <w:pPr>
        <w:pStyle w:val="BodyText"/>
      </w:pPr>
      <w:r>
        <w:t xml:space="preserve">أرصدة مطابقة لكشوف البنوك</w:t>
      </w:r>
    </w:p>
    <w:p>
      <w:pPr>
        <w:pStyle w:val="BodyText"/>
      </w:pPr>
      <w:r>
        <w:t xml:space="preserve">ملاحظة على التقارير</w:t>
      </w:r>
    </w:p>
    <w:p>
      <w:pPr>
        <w:pStyle w:val="BodyText"/>
      </w:pPr>
      <w:r>
        <w:t xml:space="preserve">تُصدَّر تقارير المطابقة والفروقات بصيغتَي Excel و PDF لتُرفق بمحضر الاعتماد، وتبقى محفوظة كمرجع دائم يمكن للمراجع الخارجي الرجوع إليه عند تدقيق أرصدة أول المدة.</w:t>
      </w:r>
    </w:p>
    <w:p>
      <w:pPr>
        <w:pStyle w:val="BodyText"/>
      </w:pPr>
      <w:r>
        <w:t xml:space="preserve">وحدة ترحيل البيانات</w:t>
      </w:r>
    </w:p>
    <w:p>
      <w:pPr>
        <w:pStyle w:val="Heading3"/>
      </w:pPr>
      <w:bookmarkStart w:id="274" w:name="القيمة-المضافة-والتكامل-6"/>
      <w:r>
        <w:t xml:space="preserve">القيمة المضافة والتكامل</w:t>
      </w:r>
      <w:bookmarkEnd w:id="274"/>
    </w:p>
    <w:p>
      <w:pPr>
        <w:pStyle w:val="FirstParagraph"/>
      </w:pPr>
      <w:r>
        <w:t xml:space="preserve">البيانات المرحَّلة هي الأساس الذي تقف عليه بقية الوحدات. فهي تفتح المحاسبة والمخازن والمبيعات والمشتريات على أرصدة صحيحة من اليوم الأول، وتجعل التقارير ولوحات المعلومات ذات معنى فور الإطلاق.</w:t>
      </w:r>
    </w:p>
    <w:p>
      <w:pPr>
        <w:pStyle w:val="Heading3"/>
      </w:pPr>
      <w:bookmarkStart w:id="275" w:name="التكامل-مع-المحاسبة-والبنوك"/>
      <w:r>
        <w:t xml:space="preserve">التكامل مع المحاسبة والبنوك</w:t>
      </w:r>
      <w:bookmarkEnd w:id="275"/>
    </w:p>
    <w:p>
      <w:pPr>
        <w:pStyle w:val="FirstParagraph"/>
      </w:pPr>
      <w:r>
        <w:t xml:space="preserve">ميزان مراجعة صحيح من أول قيد</w:t>
      </w:r>
    </w:p>
    <w:p>
      <w:pPr>
        <w:pStyle w:val="BodyText"/>
      </w:pPr>
      <w:r>
        <w:t xml:space="preserve">بمجرد اعتماد الأرصدة الافتتاحية تعمل الوحدة المحاسبية بكامل طاقتها: قيود، مطابقات بنكية، ذمم بأعمارها، وشيكات تتحرك في دورتها الطبيعية.</w:t>
      </w:r>
    </w:p>
    <w:p>
      <w:pPr>
        <w:numPr>
          <w:ilvl w:val="0"/>
          <w:numId w:val="1117"/>
        </w:numPr>
        <w:pStyle w:val="Compact"/>
      </w:pPr>
      <w:r>
        <w:t xml:space="preserve">ميزان مراجعة مطابق لما كان قبل التحويل</w:t>
      </w:r>
    </w:p>
    <w:p>
      <w:pPr>
        <w:numPr>
          <w:ilvl w:val="0"/>
          <w:numId w:val="1117"/>
        </w:numPr>
        <w:pStyle w:val="Compact"/>
      </w:pPr>
      <w:r>
        <w:t xml:space="preserve">مطابقة بنكية للحسابات الأربعة من أول شهر</w:t>
      </w:r>
    </w:p>
    <w:p>
      <w:pPr>
        <w:numPr>
          <w:ilvl w:val="0"/>
          <w:numId w:val="1117"/>
        </w:numPr>
        <w:pStyle w:val="Compact"/>
      </w:pPr>
      <w:r>
        <w:t xml:space="preserve">دورة الشيكات تعمل على الشيكات القائمة فعلاً</w:t>
      </w:r>
    </w:p>
    <w:p>
      <w:pPr>
        <w:numPr>
          <w:ilvl w:val="0"/>
          <w:numId w:val="1117"/>
        </w:numPr>
        <w:pStyle w:val="Compact"/>
      </w:pPr>
      <w:r>
        <w:t xml:space="preserve">كشوف حساب العملاء متصلة بتاريخهم السابق</w:t>
      </w:r>
    </w:p>
    <w:p>
      <w:pPr>
        <w:pStyle w:val="Heading3"/>
      </w:pPr>
      <w:bookmarkStart w:id="276" w:name="التكامل-مع-المخازن-والمشتريات"/>
      <w:r>
        <w:t xml:space="preserve">التكامل مع المخازن والمشتريات</w:t>
      </w:r>
      <w:bookmarkEnd w:id="276"/>
    </w:p>
    <w:p>
      <w:pPr>
        <w:pStyle w:val="FirstParagraph"/>
      </w:pPr>
      <w:r>
        <w:t xml:space="preserve">صرف وتوريد على أرصدة حقيقية</w:t>
      </w:r>
    </w:p>
    <w:p>
      <w:pPr>
        <w:pStyle w:val="BodyText"/>
      </w:pPr>
      <w:r>
        <w:t xml:space="preserve">أرصدة المخازن المرحَّلة لكل موقع تجعل أوامر الصرف للمشاريع وأوامر الشراء تنطلق من واقع فعلي، لا من مخزون تقديري يُصحَّح لاحقاً.</w:t>
      </w:r>
    </w:p>
    <w:p>
      <w:pPr>
        <w:numPr>
          <w:ilvl w:val="0"/>
          <w:numId w:val="1118"/>
        </w:numPr>
        <w:pStyle w:val="Compact"/>
      </w:pPr>
      <w:r>
        <w:t xml:space="preserve">صرف المواد للمشاريع من أرصدة موقعها الصحيحة</w:t>
      </w:r>
    </w:p>
    <w:p>
      <w:pPr>
        <w:numPr>
          <w:ilvl w:val="0"/>
          <w:numId w:val="1118"/>
        </w:numPr>
        <w:pStyle w:val="Compact"/>
      </w:pPr>
      <w:r>
        <w:t xml:space="preserve">أوامر الشراء مبنية على نواقص حقيقية</w:t>
      </w:r>
    </w:p>
    <w:p>
      <w:pPr>
        <w:numPr>
          <w:ilvl w:val="0"/>
          <w:numId w:val="1118"/>
        </w:numPr>
        <w:pStyle w:val="Compact"/>
      </w:pPr>
      <w:r>
        <w:t xml:space="preserve">ترميز موحّد للأصناف يمنع ازدواج الطلب</w:t>
      </w:r>
    </w:p>
    <w:p>
      <w:pPr>
        <w:numPr>
          <w:ilvl w:val="0"/>
          <w:numId w:val="1118"/>
        </w:numPr>
        <w:pStyle w:val="Compact"/>
      </w:pPr>
      <w:r>
        <w:t xml:space="preserve">تكلفة المواد تُحمَّل على مركز تكلفة المشروع مباشرة</w:t>
      </w:r>
    </w:p>
    <w:p>
      <w:pPr>
        <w:pStyle w:val="Heading3"/>
      </w:pPr>
      <w:bookmarkStart w:id="277" w:name="التكامل-مع-المبيعات-والمشاريع"/>
      <w:r>
        <w:t xml:space="preserve">التكامل مع المبيعات والمشاريع</w:t>
      </w:r>
      <w:bookmarkEnd w:id="277"/>
    </w:p>
    <w:p>
      <w:pPr>
        <w:pStyle w:val="FirstParagraph"/>
      </w:pPr>
      <w:r>
        <w:t xml:space="preserve">مستخلصات تكمل ما سبقها</w:t>
      </w:r>
    </w:p>
    <w:p>
      <w:pPr>
        <w:pStyle w:val="BodyText"/>
      </w:pPr>
      <w:r>
        <w:t xml:space="preserve">العقود والمستخلصات السابقة المرحَّلة تجعل أول مستخلص يصدر من النظام امتداداً طبيعياً لسلسلة المستخلصات، بنسب إنجاز ومحتجزات صحيحة.</w:t>
      </w:r>
    </w:p>
    <w:p>
      <w:pPr>
        <w:numPr>
          <w:ilvl w:val="0"/>
          <w:numId w:val="1119"/>
        </w:numPr>
        <w:pStyle w:val="Compact"/>
      </w:pPr>
      <w:r>
        <w:t xml:space="preserve">قيمة العقد ونسبة المنجز منه محفوظتان</w:t>
      </w:r>
    </w:p>
    <w:p>
      <w:pPr>
        <w:numPr>
          <w:ilvl w:val="0"/>
          <w:numId w:val="1119"/>
        </w:numPr>
        <w:pStyle w:val="Compact"/>
      </w:pPr>
      <w:r>
        <w:t xml:space="preserve">المستخلص الجديد يبدأ من آخر مستخلص معتمد</w:t>
      </w:r>
    </w:p>
    <w:p>
      <w:pPr>
        <w:numPr>
          <w:ilvl w:val="0"/>
          <w:numId w:val="1119"/>
        </w:numPr>
        <w:pStyle w:val="Compact"/>
      </w:pPr>
      <w:r>
        <w:t xml:space="preserve">الضمانات المحتجزة مرحَّلة بقيمها وشروط ردّها</w:t>
      </w:r>
    </w:p>
    <w:p>
      <w:pPr>
        <w:numPr>
          <w:ilvl w:val="0"/>
          <w:numId w:val="1119"/>
        </w:numPr>
        <w:pStyle w:val="Compact"/>
      </w:pPr>
      <w:r>
        <w:t xml:space="preserve">المناقصات الحكومية مرتبطة بمشاريعها ومستنداتها</w:t>
      </w:r>
    </w:p>
    <w:p>
      <w:pPr>
        <w:pStyle w:val="Heading3"/>
      </w:pPr>
      <w:bookmarkStart w:id="278" w:name="تقارير-ولوحات-معلومات-ذات-معنى"/>
      <w:r>
        <w:t xml:space="preserve">تقارير ولوحات معلومات ذات معنى</w:t>
      </w:r>
      <w:bookmarkEnd w:id="278"/>
    </w:p>
    <w:p>
      <w:pPr>
        <w:pStyle w:val="FirstParagraph"/>
      </w:pPr>
      <w:r>
        <w:t xml:space="preserve">مجمّعة للشركة وتفصيلية لكل مشروع</w:t>
      </w:r>
    </w:p>
    <w:p>
      <w:pPr>
        <w:pStyle w:val="BodyText"/>
      </w:pPr>
      <w:r>
        <w:t xml:space="preserve">لولا الترحيل لظلت لوحات المعلومات فارغة أشهراً حتى تتراكم الحركة. بالبيانات المرحَّلة تعمل التقارير الإدارية من أول يوم بأرقام كاملة.</w:t>
      </w:r>
    </w:p>
    <w:p>
      <w:pPr>
        <w:numPr>
          <w:ilvl w:val="0"/>
          <w:numId w:val="1120"/>
        </w:numPr>
        <w:pStyle w:val="Compact"/>
      </w:pPr>
      <w:r>
        <w:t xml:space="preserve">ربحية كل مشروع محسوبة من بدايته لا من الإطلاق</w:t>
      </w:r>
    </w:p>
    <w:p>
      <w:pPr>
        <w:numPr>
          <w:ilvl w:val="0"/>
          <w:numId w:val="1120"/>
        </w:numPr>
        <w:pStyle w:val="Compact"/>
      </w:pPr>
      <w:r>
        <w:t xml:space="preserve">تقرير مجمّع للإيرادات والمصروفات والتحصيلات</w:t>
      </w:r>
    </w:p>
    <w:p>
      <w:pPr>
        <w:numPr>
          <w:ilvl w:val="0"/>
          <w:numId w:val="1120"/>
        </w:numPr>
        <w:pStyle w:val="Compact"/>
      </w:pPr>
      <w:r>
        <w:t xml:space="preserve">متابعة الشيكات والتدفق النقدي المتوقع</w:t>
      </w:r>
    </w:p>
    <w:p>
      <w:pPr>
        <w:numPr>
          <w:ilvl w:val="0"/>
          <w:numId w:val="1120"/>
        </w:numPr>
        <w:pStyle w:val="Compact"/>
      </w:pPr>
      <w:r>
        <w:t xml:space="preserve">مقارنة أداء المشاريع بعضها ببعض على أساس واحد</w:t>
      </w:r>
    </w:p>
    <w:p>
      <w:pPr>
        <w:pStyle w:val="Heading3"/>
      </w:pPr>
      <w:bookmarkStart w:id="279" w:name="X44a49eb9b906e2fa78fef147def9b03254a5f31"/>
      <w:r>
        <w:t xml:space="preserve">من البيانات المعتمدة إلى قرار الإدارة — كيف تتغذى الوحدات</w:t>
      </w:r>
      <w:bookmarkEnd w:id="279"/>
    </w:p>
    <w:p>
      <w:pPr>
        <w:pStyle w:val="FirstParagraph"/>
      </w:pPr>
      <w:r>
        <w:t xml:space="preserve">سلسلة تبدأ من الأرصدة المُرحَّلة وتنتهي بلوحة معلومات تُقرأ من اليوم الأول</w:t>
      </w:r>
    </w:p>
    <w:p>
      <w:pPr>
        <w:pStyle w:val="BodyText"/>
      </w:pPr>
      <w:r>
        <w:t xml:space="preserve">بيانات معتمدة</w:t>
      </w:r>
    </w:p>
    <w:p>
      <w:pPr>
        <w:pStyle w:val="BodyText"/>
      </w:pPr>
      <w:r>
        <w:t xml:space="preserve">أرصدة افتتاحية موقّعة ومطابَقة</w:t>
      </w:r>
    </w:p>
    <w:p>
      <w:pPr>
        <w:pStyle w:val="BodyText"/>
      </w:pPr>
      <w:r>
        <w:t xml:space="preserve">المحاسبة والبنوك</w:t>
      </w:r>
    </w:p>
    <w:p>
      <w:pPr>
        <w:pStyle w:val="BodyText"/>
      </w:pPr>
      <w:r>
        <w:t xml:space="preserve">قيود وذمم وشيكات ومطابقات</w:t>
      </w:r>
    </w:p>
    <w:p>
      <w:pPr>
        <w:pStyle w:val="BodyText"/>
      </w:pPr>
      <w:r>
        <w:t xml:space="preserve">المخازن والمشتريات</w:t>
      </w:r>
    </w:p>
    <w:p>
      <w:pPr>
        <w:pStyle w:val="BodyText"/>
      </w:pPr>
      <w:r>
        <w:t xml:space="preserve">صرف وتوريد على أرصدة حقيقية</w:t>
      </w:r>
    </w:p>
    <w:p>
      <w:pPr>
        <w:pStyle w:val="BodyText"/>
      </w:pPr>
      <w:r>
        <w:t xml:space="preserve">المشاريع والمستخلصات</w:t>
      </w:r>
    </w:p>
    <w:p>
      <w:pPr>
        <w:pStyle w:val="BodyText"/>
      </w:pPr>
      <w:r>
        <w:t xml:space="preserve">تكاليف وإيرادات متصلة بتاريخها</w:t>
      </w:r>
    </w:p>
    <w:p>
      <w:pPr>
        <w:pStyle w:val="BodyText"/>
      </w:pPr>
      <w:r>
        <w:t xml:space="preserve">التقارير ولوحات المعلومات</w:t>
      </w:r>
    </w:p>
    <w:p>
      <w:pPr>
        <w:pStyle w:val="BodyText"/>
      </w:pPr>
      <w:r>
        <w:t xml:space="preserve">ربحية ومجمّع ونقدية بمعنى كامل</w:t>
      </w:r>
    </w:p>
    <w:p>
      <w:pPr>
        <w:pStyle w:val="BodyText"/>
      </w:pPr>
      <w:r>
        <w:t xml:space="preserve">DEXOR — Systems with Souls</w:t>
      </w:r>
    </w:p>
    <w:p>
      <w:pPr>
        <w:pStyle w:val="BodyText"/>
      </w:pPr>
      <w:r>
        <w:t xml:space="preserve">أُعد هذا العرض خصيصاً لشركة لؤلؤة الشايع للمقاولات العامة والإنشاءات بدولة الكويت. تُنفَّذ وحدة ترحيل البيانات على الاستضافة السحابية Odoo.sh لعدد 15 مستخدماً بعملة KWD ، ضمن مدة تطبيق 8–10 أسابيع ودعم فني مشمول لمدة 12 شهراً.</w:t>
      </w:r>
    </w:p>
    <w:p>
      <w:pPr>
        <w:pStyle w:val="Heading2"/>
      </w:pPr>
      <w:bookmarkStart w:id="280" w:name="وحدة-تخصيص-التقارير-report-customisation"/>
      <w:r>
        <w:t xml:space="preserve">وحدة تخصيص التقارير (Report Customisation)</w:t>
      </w:r>
      <w:bookmarkEnd w:id="280"/>
    </w:p>
    <w:p>
      <w:pPr>
        <w:pStyle w:val="FirstParagraph"/>
      </w:pPr>
      <w:r>
        <w:t xml:space="preserve">وحدة تخصيص التقارير</w:t>
      </w:r>
    </w:p>
    <w:p>
      <w:pPr>
        <w:pStyle w:val="Heading3"/>
      </w:pPr>
      <w:bookmarkStart w:id="281" w:name="تخصيص-التقارير-نظرة-عامة"/>
      <w:r>
        <w:t xml:space="preserve">تخصيص التقارير — نظرة عامة</w:t>
      </w:r>
      <w:bookmarkEnd w:id="281"/>
    </w:p>
    <w:p>
      <w:pPr>
        <w:pStyle w:val="FirstParagraph"/>
      </w:pPr>
      <w:r>
        <w:t xml:space="preserve">وحدة تخصيص التقارير (Report Customisation) تتولى تصميم المستندات المطبوعة والتقارير الإدارية بصيغة شركة لؤلؤة الشايع وباللغة العربية من اليمين إلى اليسار — من عرض السعر والمستخلص الدوري إلى تقارير ربحية كل مشروع على حدة.</w:t>
      </w:r>
    </w:p>
    <w:p>
      <w:pPr>
        <w:pStyle w:val="Heading3"/>
      </w:pPr>
      <w:bookmarkStart w:id="282" w:name="مبدأ-التخصيص"/>
      <w:r>
        <w:t xml:space="preserve">مبدأ التخصيص</w:t>
      </w:r>
      <w:bookmarkEnd w:id="282"/>
    </w:p>
    <w:p>
      <w:pPr>
        <w:pStyle w:val="FirstParagraph"/>
      </w:pPr>
      <w:r>
        <w:t xml:space="preserve">مستندات بصيغة الشركة لا بصيغة النظام</w:t>
      </w:r>
    </w:p>
    <w:p>
      <w:pPr>
        <w:pStyle w:val="BodyText"/>
      </w:pPr>
      <w:r>
        <w:t xml:space="preserve">التقارير الجاهزة في أي نظام لا تكفي شركة مقاولات تدير مشاريع متعددة؛ لذلك يُصمَّم كل مستند بترويسة الشركة وشعارها وبلغة عربية سليمة تُقرأ من اليمين إلى اليسار.</w:t>
      </w:r>
    </w:p>
    <w:p>
      <w:pPr>
        <w:numPr>
          <w:ilvl w:val="0"/>
          <w:numId w:val="1121"/>
        </w:numPr>
        <w:pStyle w:val="Compact"/>
      </w:pPr>
      <w:r>
        <w:t xml:space="preserve">ترويسة موحَّدة تحمل شعار الشركة وبياناتها الرسمية</w:t>
      </w:r>
    </w:p>
    <w:p>
      <w:pPr>
        <w:numPr>
          <w:ilvl w:val="0"/>
          <w:numId w:val="1121"/>
        </w:numPr>
        <w:pStyle w:val="Compact"/>
      </w:pPr>
      <w:r>
        <w:t xml:space="preserve">اتجاه عربي من اليمين إلى اليسار في كل مستند</w:t>
      </w:r>
    </w:p>
    <w:p>
      <w:pPr>
        <w:numPr>
          <w:ilvl w:val="0"/>
          <w:numId w:val="1121"/>
        </w:numPr>
        <w:pStyle w:val="Compact"/>
      </w:pPr>
      <w:r>
        <w:t xml:space="preserve">تنسيق الأرقام وعملة KWD بثلاث خانات عشرية</w:t>
      </w:r>
    </w:p>
    <w:p>
      <w:pPr>
        <w:numPr>
          <w:ilvl w:val="0"/>
          <w:numId w:val="1121"/>
        </w:numPr>
        <w:pStyle w:val="Compact"/>
      </w:pPr>
      <w:r>
        <w:t xml:space="preserve">تصدير مباشر إلى PDF و Excel وجاهز للطباعة</w:t>
      </w:r>
    </w:p>
    <w:p>
      <w:pPr>
        <w:pStyle w:val="Heading3"/>
      </w:pPr>
      <w:bookmarkStart w:id="283" w:name="المستندات-المطبوعة-المخصصة"/>
      <w:r>
        <w:t xml:space="preserve">المستندات المطبوعة المخصَّصة</w:t>
      </w:r>
      <w:bookmarkEnd w:id="283"/>
    </w:p>
    <w:p>
      <w:pPr>
        <w:pStyle w:val="FirstParagraph"/>
      </w:pPr>
      <w:r>
        <w:t xml:space="preserve">دورة المشروع من العرض حتى كشف الحساب</w:t>
      </w:r>
    </w:p>
    <w:p>
      <w:pPr>
        <w:pStyle w:val="BodyText"/>
      </w:pPr>
      <w:r>
        <w:t xml:space="preserve">مجموعة مستندات تغطي عمر المشروع بالكامل، كل مستند بصيغته المعتمدة وترقيم تسلسلي منضبط يربطه بمشروعه وبالعميل صاحب العلاقة.</w:t>
      </w:r>
    </w:p>
    <w:p>
      <w:pPr>
        <w:numPr>
          <w:ilvl w:val="0"/>
          <w:numId w:val="1122"/>
        </w:numPr>
        <w:pStyle w:val="Compact"/>
      </w:pPr>
      <w:r>
        <w:t xml:space="preserve">عرض السعر بجدول الكميات وعقد المقاولة</w:t>
      </w:r>
    </w:p>
    <w:p>
      <w:pPr>
        <w:numPr>
          <w:ilvl w:val="0"/>
          <w:numId w:val="1122"/>
        </w:numPr>
        <w:pStyle w:val="Compact"/>
      </w:pPr>
      <w:r>
        <w:t xml:space="preserve">المستخلص الدوري (شهادة الدفع) وأمر التغيير</w:t>
      </w:r>
    </w:p>
    <w:p>
      <w:pPr>
        <w:numPr>
          <w:ilvl w:val="0"/>
          <w:numId w:val="1122"/>
        </w:numPr>
        <w:pStyle w:val="Compact"/>
      </w:pPr>
      <w:r>
        <w:t xml:space="preserve">مستخلص مقاول الباطن وأمر صرف المواد</w:t>
      </w:r>
    </w:p>
    <w:p>
      <w:pPr>
        <w:numPr>
          <w:ilvl w:val="0"/>
          <w:numId w:val="1122"/>
        </w:numPr>
        <w:pStyle w:val="Compact"/>
      </w:pPr>
      <w:r>
        <w:t xml:space="preserve">كشف حساب العميل بالحركات والأرصدة</w:t>
      </w:r>
    </w:p>
    <w:p>
      <w:pPr>
        <w:pStyle w:val="Heading3"/>
      </w:pPr>
      <w:bookmarkStart w:id="284" w:name="التقارير-المالية-المخصصة"/>
      <w:r>
        <w:t xml:space="preserve">التقارير المالية المخصَّصة</w:t>
      </w:r>
      <w:bookmarkEnd w:id="284"/>
    </w:p>
    <w:p>
      <w:pPr>
        <w:pStyle w:val="FirstParagraph"/>
      </w:pPr>
      <w:r>
        <w:t xml:space="preserve">ربحية كل مشروع على حدة</w:t>
      </w:r>
    </w:p>
    <w:p>
      <w:pPr>
        <w:pStyle w:val="BodyText"/>
      </w:pPr>
      <w:r>
        <w:t xml:space="preserve">تقارير مبنية على المحاسبة التحليلية لكل مشروع، تُظهر الإيراد مقابل التكلفة والمركز النقدي الحقيقي للشركة في أي لحظة ودون إعداد يدوي.</w:t>
      </w:r>
    </w:p>
    <w:p>
      <w:pPr>
        <w:numPr>
          <w:ilvl w:val="0"/>
          <w:numId w:val="1123"/>
        </w:numPr>
        <w:pStyle w:val="Compact"/>
      </w:pPr>
      <w:r>
        <w:t xml:space="preserve">قائمة دخل لكل مشروع وتقرير الإيراد مقابل التكلفة</w:t>
      </w:r>
    </w:p>
    <w:p>
      <w:pPr>
        <w:numPr>
          <w:ilvl w:val="0"/>
          <w:numId w:val="1123"/>
        </w:numPr>
        <w:pStyle w:val="Compact"/>
      </w:pPr>
      <w:r>
        <w:t xml:space="preserve">سجل الشيكات المستلمة والصادرة بالحالة وتاريخ الاستحقاق</w:t>
      </w:r>
    </w:p>
    <w:p>
      <w:pPr>
        <w:numPr>
          <w:ilvl w:val="0"/>
          <w:numId w:val="1123"/>
        </w:numPr>
        <w:pStyle w:val="Compact"/>
      </w:pPr>
      <w:r>
        <w:t xml:space="preserve">تقرير المركز البنكي للحسابات الأربعة</w:t>
      </w:r>
    </w:p>
    <w:p>
      <w:pPr>
        <w:numPr>
          <w:ilvl w:val="0"/>
          <w:numId w:val="1123"/>
        </w:numPr>
        <w:pStyle w:val="Compact"/>
      </w:pPr>
      <w:r>
        <w:t xml:space="preserve">تقرير أعمار الذمم وتقرير التدفق النقدي المتوقع</w:t>
      </w:r>
    </w:p>
    <w:p>
      <w:pPr>
        <w:pStyle w:val="Heading3"/>
      </w:pPr>
      <w:bookmarkStart w:id="285" w:name="التقارير-التشغيلية-والإدارية"/>
      <w:r>
        <w:t xml:space="preserve">التقارير التشغيلية والإدارية</w:t>
      </w:r>
      <w:bookmarkEnd w:id="285"/>
    </w:p>
    <w:p>
      <w:pPr>
        <w:pStyle w:val="FirstParagraph"/>
      </w:pPr>
      <w:r>
        <w:t xml:space="preserve">من الموقع إلى غرفة الاجتماعات</w:t>
      </w:r>
    </w:p>
    <w:p>
      <w:pPr>
        <w:pStyle w:val="BodyText"/>
      </w:pPr>
      <w:r>
        <w:t xml:space="preserve">تقارير تربط ما يجري في المواقع بما يظهر في الحسابات، وتُجمَّع شهرياً في حزمة واحدة تجمع كل المشاريع مع تفصيل لكل مشروع، جاهزة لاجتماع الإدارة.</w:t>
      </w:r>
    </w:p>
    <w:p>
      <w:pPr>
        <w:numPr>
          <w:ilvl w:val="0"/>
          <w:numId w:val="1124"/>
        </w:numPr>
        <w:pStyle w:val="Compact"/>
      </w:pPr>
      <w:r>
        <w:t xml:space="preserve">استهلاك المواد لكل مشروع وتوزيع المعدات على المواقع</w:t>
      </w:r>
    </w:p>
    <w:p>
      <w:pPr>
        <w:numPr>
          <w:ilvl w:val="0"/>
          <w:numId w:val="1124"/>
        </w:numPr>
        <w:pStyle w:val="Compact"/>
      </w:pPr>
      <w:r>
        <w:t xml:space="preserve">تكلفة العمالة ومقاولي الباطن لكل مشروع</w:t>
      </w:r>
    </w:p>
    <w:p>
      <w:pPr>
        <w:numPr>
          <w:ilvl w:val="0"/>
          <w:numId w:val="1124"/>
        </w:numPr>
        <w:pStyle w:val="Compact"/>
      </w:pPr>
      <w:r>
        <w:t xml:space="preserve">متابعة المناقصات الحكومية ونتائجها</w:t>
      </w:r>
    </w:p>
    <w:p>
      <w:pPr>
        <w:numPr>
          <w:ilvl w:val="0"/>
          <w:numId w:val="1124"/>
        </w:numPr>
        <w:pStyle w:val="Compact"/>
      </w:pPr>
      <w:r>
        <w:t xml:space="preserve">حزمة تقارير شهرية مجمَّعة مع تفصيل لكل مشروع</w:t>
      </w:r>
    </w:p>
    <w:p>
      <w:pPr>
        <w:pStyle w:val="Heading3"/>
      </w:pPr>
      <w:bookmarkStart w:id="286" w:name="X540d88e0a471e62467462f0eaf385c88216cd6a"/>
      <w:r>
        <w:t xml:space="preserve">منهجية تصميم التقارير — من ورشة المتطلبات إلى الاعتماد</w:t>
      </w:r>
      <w:bookmarkEnd w:id="286"/>
    </w:p>
    <w:p>
      <w:pPr>
        <w:pStyle w:val="FirstParagraph"/>
      </w:pPr>
      <w:r>
        <w:t xml:space="preserve">ثماني مراحل منضبطة، مع دورتي مراجعة لكل تقرير ضمن نطاق هذا العرض</w:t>
      </w:r>
    </w:p>
    <w:p>
      <w:pPr>
        <w:pStyle w:val="BodyText"/>
      </w:pPr>
      <w:r>
        <w:t xml:space="preserve">ورشة المتطلبات</w:t>
      </w:r>
    </w:p>
    <w:p>
      <w:pPr>
        <w:pStyle w:val="BodyText"/>
      </w:pPr>
      <w:r>
        <w:t xml:space="preserve">حصر المستندات المطلوبة</w:t>
      </w:r>
    </w:p>
    <w:p>
      <w:pPr>
        <w:pStyle w:val="BodyText"/>
      </w:pPr>
      <w:r>
        <w:t xml:space="preserve">جمع النماذج</w:t>
      </w:r>
    </w:p>
    <w:p>
      <w:pPr>
        <w:pStyle w:val="BodyText"/>
      </w:pPr>
      <w:r>
        <w:t xml:space="preserve">نماذج الشركة الحالية</w:t>
      </w:r>
    </w:p>
    <w:p>
      <w:pPr>
        <w:pStyle w:val="BodyText"/>
      </w:pPr>
      <w:r>
        <w:t xml:space="preserve">تصميم القالب</w:t>
      </w:r>
    </w:p>
    <w:p>
      <w:pPr>
        <w:pStyle w:val="BodyText"/>
      </w:pPr>
      <w:r>
        <w:t xml:space="preserve">الهيكل والحقول والترويسة</w:t>
      </w:r>
    </w:p>
    <w:p>
      <w:pPr>
        <w:pStyle w:val="BodyText"/>
      </w:pPr>
      <w:r>
        <w:t xml:space="preserve">نموذج أولي</w:t>
      </w:r>
    </w:p>
    <w:p>
      <w:pPr>
        <w:pStyle w:val="BodyText"/>
      </w:pPr>
      <w:r>
        <w:t xml:space="preserve">مستند تجريبي ببيانات حقيقية</w:t>
      </w:r>
    </w:p>
    <w:p>
      <w:pPr>
        <w:pStyle w:val="BodyText"/>
      </w:pPr>
      <w:r>
        <w:t xml:space="preserve">مراجعة العميل</w:t>
      </w:r>
    </w:p>
    <w:p>
      <w:pPr>
        <w:pStyle w:val="BodyText"/>
      </w:pPr>
      <w:r>
        <w:t xml:space="preserve">ملاحظات مكتوبة ومحصورة</w:t>
      </w:r>
    </w:p>
    <w:p>
      <w:pPr>
        <w:pStyle w:val="BodyText"/>
      </w:pPr>
      <w:r>
        <w:t xml:space="preserve">التعديل</w:t>
      </w:r>
    </w:p>
    <w:p>
      <w:pPr>
        <w:pStyle w:val="BodyText"/>
      </w:pPr>
      <w:r>
        <w:t xml:space="preserve">دورتا مراجعة لكل تقرير</w:t>
      </w:r>
    </w:p>
    <w:p>
      <w:pPr>
        <w:pStyle w:val="BodyText"/>
      </w:pPr>
      <w:r>
        <w:t xml:space="preserve">الاعتماد</w:t>
      </w:r>
    </w:p>
    <w:p>
      <w:pPr>
        <w:pStyle w:val="BodyText"/>
      </w:pPr>
      <w:r>
        <w:t xml:space="preserve">توقيع النموذج النهائي</w:t>
      </w:r>
    </w:p>
    <w:p>
      <w:pPr>
        <w:pStyle w:val="BodyText"/>
      </w:pPr>
      <w:r>
        <w:t xml:space="preserve">التسليم</w:t>
      </w:r>
    </w:p>
    <w:p>
      <w:pPr>
        <w:pStyle w:val="BodyText"/>
      </w:pPr>
      <w:r>
        <w:t xml:space="preserve">النشر وتدريب المستخدمين</w:t>
      </w:r>
    </w:p>
    <w:p>
      <w:pPr>
        <w:pStyle w:val="BodyText"/>
      </w:pPr>
      <w:r>
        <w:t xml:space="preserve">ملاحظة التنفيذ</w:t>
      </w:r>
    </w:p>
    <w:p>
      <w:pPr>
        <w:pStyle w:val="BodyText"/>
      </w:pPr>
      <w:r>
        <w:t xml:space="preserve">يُنفَّذ التخصيص بأدوات Odoo القياسية ( Studio و QWeb ) دون تعديل يمس نواة النظام، فتبقى الترقيات آمنة وتُحفظ القوالب مع قاعدة البيانات على Odoo.sh .</w:t>
      </w:r>
    </w:p>
    <w:p>
      <w:pPr>
        <w:pStyle w:val="BodyText"/>
      </w:pPr>
      <w:r>
        <w:t xml:space="preserve">تخصيص التقارير — الصفحة</w:t>
      </w:r>
    </w:p>
    <w:p>
      <w:pPr>
        <w:pStyle w:val="BodyText"/>
      </w:pPr>
      <w:r>
        <w:t xml:space="preserve">وحدة تخصيص التقارير</w:t>
      </w:r>
    </w:p>
    <w:p>
      <w:pPr>
        <w:pStyle w:val="Heading3"/>
      </w:pPr>
      <w:bookmarkStart w:id="287" w:name="دورة-العمل-ومسار-إنتاج-التقرير"/>
      <w:r>
        <w:t xml:space="preserve">دورة العمل ومسار إنتاج التقرير</w:t>
      </w:r>
      <w:bookmarkEnd w:id="287"/>
    </w:p>
    <w:p>
      <w:pPr>
        <w:pStyle w:val="FirstParagraph"/>
      </w:pPr>
      <w:r>
        <w:t xml:space="preserve">مسار واضح يبدأ من ورشة تحديد المتطلبات وينتهي بمستند معتمد بصيغة الشركة — يُقرأ الشريط أدناه من اليمين إلى اليسار.</w:t>
      </w:r>
    </w:p>
    <w:p>
      <w:pPr>
        <w:pStyle w:val="Heading3"/>
      </w:pPr>
      <w:bookmarkStart w:id="288" w:name="حصر-المتطلبات"/>
      <w:r>
        <w:t xml:space="preserve">حصر المتطلبات</w:t>
      </w:r>
      <w:bookmarkEnd w:id="288"/>
    </w:p>
    <w:p>
      <w:pPr>
        <w:pStyle w:val="FirstParagraph"/>
      </w:pPr>
      <w:r>
        <w:t xml:space="preserve">ورشة مع الإدارة</w:t>
      </w:r>
    </w:p>
    <w:p>
      <w:pPr>
        <w:pStyle w:val="Heading3"/>
      </w:pPr>
      <w:bookmarkStart w:id="289" w:name="تحديد-مصادر-البيانات"/>
      <w:r>
        <w:t xml:space="preserve">تحديد مصادر البيانات</w:t>
      </w:r>
      <w:bookmarkEnd w:id="289"/>
    </w:p>
    <w:p>
      <w:pPr>
        <w:pStyle w:val="FirstParagraph"/>
      </w:pPr>
      <w:r>
        <w:t xml:space="preserve">أي شاشة تغذّي أي حقل</w:t>
      </w:r>
    </w:p>
    <w:p>
      <w:pPr>
        <w:pStyle w:val="Heading3"/>
      </w:pPr>
      <w:bookmarkStart w:id="290" w:name="تصميم-القالب"/>
      <w:r>
        <w:t xml:space="preserve">تصميم القالب</w:t>
      </w:r>
      <w:bookmarkEnd w:id="290"/>
    </w:p>
    <w:p>
      <w:pPr>
        <w:pStyle w:val="FirstParagraph"/>
      </w:pPr>
      <w:r>
        <w:t xml:space="preserve">الترويسة والجداول</w:t>
      </w:r>
    </w:p>
    <w:p>
      <w:pPr>
        <w:pStyle w:val="Heading3"/>
      </w:pPr>
      <w:bookmarkStart w:id="291" w:name="بناء-القالب"/>
      <w:r>
        <w:t xml:space="preserve">بناء القالب</w:t>
      </w:r>
      <w:bookmarkEnd w:id="291"/>
    </w:p>
    <w:p>
      <w:pPr>
        <w:pStyle w:val="FirstParagraph"/>
      </w:pPr>
      <w:r>
        <w:t xml:space="preserve">Studio و QWeb</w:t>
      </w:r>
    </w:p>
    <w:p>
      <w:pPr>
        <w:pStyle w:val="Heading3"/>
      </w:pPr>
      <w:bookmarkStart w:id="292" w:name="اختبار-المستند"/>
      <w:r>
        <w:t xml:space="preserve">اختبار المستند</w:t>
      </w:r>
      <w:bookmarkEnd w:id="292"/>
    </w:p>
    <w:p>
      <w:pPr>
        <w:pStyle w:val="FirstParagraph"/>
      </w:pPr>
      <w:r>
        <w:t xml:space="preserve">ببيانات مشروع حقيقي</w:t>
      </w:r>
    </w:p>
    <w:p>
      <w:pPr>
        <w:pStyle w:val="Heading3"/>
      </w:pPr>
      <w:bookmarkStart w:id="293" w:name="مراجعة-واعتماد"/>
      <w:r>
        <w:t xml:space="preserve">مراجعة واعتماد</w:t>
      </w:r>
      <w:bookmarkEnd w:id="293"/>
    </w:p>
    <w:p>
      <w:pPr>
        <w:pStyle w:val="FirstParagraph"/>
      </w:pPr>
      <w:r>
        <w:t xml:space="preserve">دورتا مراجعة</w:t>
      </w:r>
    </w:p>
    <w:p>
      <w:pPr>
        <w:pStyle w:val="Heading3"/>
      </w:pPr>
      <w:bookmarkStart w:id="294" w:name="النشر-والتدريب"/>
      <w:r>
        <w:t xml:space="preserve">النشر والتدريب</w:t>
      </w:r>
      <w:bookmarkEnd w:id="294"/>
    </w:p>
    <w:p>
      <w:pPr>
        <w:pStyle w:val="FirstParagraph"/>
      </w:pPr>
      <w:r>
        <w:t xml:space="preserve">القالب في الاستخدام</w:t>
      </w:r>
    </w:p>
    <w:p>
      <w:pPr>
        <w:pStyle w:val="BodyText"/>
      </w:pPr>
      <w:r>
        <w:t xml:space="preserve">اتجاه المسار من اليمين إلى اليسار — لا يُعتمد أي قالب قبل اجتياز المرحلتين السادسة والسابعة</w:t>
      </w:r>
    </w:p>
    <w:p>
      <w:pPr>
        <w:pStyle w:val="Heading3"/>
      </w:pPr>
      <w:bookmarkStart w:id="295" w:name="مصدر-بيانات-كل-تقرير"/>
      <w:r>
        <w:t xml:space="preserve">مصدر بيانات كل تقرير</w:t>
      </w:r>
      <w:bookmarkEnd w:id="295"/>
    </w:p>
    <w:p>
      <w:pPr>
        <w:pStyle w:val="FirstParagraph"/>
      </w:pPr>
      <w:r>
        <w:t xml:space="preserve">لا إدخال مزدوج ولا جداول جانبية</w:t>
      </w:r>
    </w:p>
    <w:p>
      <w:pPr>
        <w:pStyle w:val="Heading3"/>
      </w:pPr>
      <w:bookmarkStart w:id="296" w:name="ضوابط-المراجعة-والاعتماد"/>
      <w:r>
        <w:t xml:space="preserve">ضوابط المراجعة والاعتماد</w:t>
      </w:r>
      <w:bookmarkEnd w:id="296"/>
    </w:p>
    <w:p>
      <w:pPr>
        <w:pStyle w:val="FirstParagraph"/>
      </w:pPr>
      <w:r>
        <w:t xml:space="preserve">نطاق منضبط يحمي الجدول الزمني</w:t>
      </w:r>
    </w:p>
    <w:p>
      <w:pPr>
        <w:pStyle w:val="BodyText"/>
      </w:pPr>
      <w:r>
        <w:t xml:space="preserve">لكل مستند مسار اعتماد مكتوب يمنع التعديلات المفتوحة ويضمن أن ما يُسلَّم هو ما اعتمدته الإدارة بالضبط.</w:t>
      </w:r>
    </w:p>
    <w:p>
      <w:pPr>
        <w:numPr>
          <w:ilvl w:val="0"/>
          <w:numId w:val="1125"/>
        </w:numPr>
        <w:pStyle w:val="Compact"/>
      </w:pPr>
      <w:r>
        <w:t xml:space="preserve">نموذج أولي لكل مستند قبل البناء النهائي</w:t>
      </w:r>
    </w:p>
    <w:p>
      <w:pPr>
        <w:numPr>
          <w:ilvl w:val="0"/>
          <w:numId w:val="1125"/>
        </w:numPr>
        <w:pStyle w:val="Compact"/>
      </w:pPr>
      <w:r>
        <w:t xml:space="preserve">دورتا مراجعة لكل تقرير ضمن نطاق هذا العرض</w:t>
      </w:r>
    </w:p>
    <w:p>
      <w:pPr>
        <w:numPr>
          <w:ilvl w:val="0"/>
          <w:numId w:val="1125"/>
        </w:numPr>
        <w:pStyle w:val="Compact"/>
      </w:pPr>
      <w:r>
        <w:t xml:space="preserve">محضر اعتماد مكتوب لكل مستند قبل النشر</w:t>
      </w:r>
    </w:p>
    <w:p>
      <w:pPr>
        <w:numPr>
          <w:ilvl w:val="0"/>
          <w:numId w:val="1125"/>
        </w:numPr>
        <w:pStyle w:val="Compact"/>
      </w:pPr>
      <w:r>
        <w:t xml:space="preserve">ترقيم إصدارات القوالب وحفظ النسخ السابقة</w:t>
      </w:r>
    </w:p>
    <w:p>
      <w:pPr>
        <w:numPr>
          <w:ilvl w:val="0"/>
          <w:numId w:val="1125"/>
        </w:numPr>
        <w:pStyle w:val="Compact"/>
      </w:pPr>
      <w:r>
        <w:t xml:space="preserve">صلاحيات وصول تحدد من يرى تقارير أي مشروع</w:t>
      </w:r>
    </w:p>
    <w:p>
      <w:pPr>
        <w:pStyle w:val="Heading3"/>
      </w:pPr>
      <w:bookmarkStart w:id="297" w:name="X1cd0bc407c0ac155c480746b29aa7d16071dee0"/>
      <w:r>
        <w:t xml:space="preserve">نطاق التسليم — المستندات والتقارير المشمولة</w:t>
      </w:r>
      <w:bookmarkEnd w:id="297"/>
    </w:p>
    <w:p>
      <w:pPr>
        <w:pStyle w:val="FirstParagraph"/>
      </w:pPr>
      <w:r>
        <w:t xml:space="preserve">تُعتمد القائمة النهائية في ورشة المتطلبات خلال الأسبوع الأول من التطبيق</w:t>
      </w:r>
    </w:p>
    <w:p>
      <w:pPr>
        <w:pStyle w:val="BodyText"/>
      </w:pPr>
      <w:r>
        <w:t xml:space="preserve">عرض السعر بجدول الكميات</w:t>
      </w:r>
    </w:p>
    <w:p>
      <w:pPr>
        <w:pStyle w:val="BodyText"/>
      </w:pPr>
      <w:r>
        <w:t xml:space="preserve">عقد المقاولة</w:t>
      </w:r>
    </w:p>
    <w:p>
      <w:pPr>
        <w:pStyle w:val="BodyText"/>
      </w:pPr>
      <w:r>
        <w:t xml:space="preserve">المستخلص الدوري</w:t>
      </w:r>
    </w:p>
    <w:p>
      <w:pPr>
        <w:pStyle w:val="BodyText"/>
      </w:pPr>
      <w:r>
        <w:t xml:space="preserve">أمر التغيير</w:t>
      </w:r>
    </w:p>
    <w:p>
      <w:pPr>
        <w:pStyle w:val="BodyText"/>
      </w:pPr>
      <w:r>
        <w:t xml:space="preserve">مستخلص مقاول الباطن</w:t>
      </w:r>
    </w:p>
    <w:p>
      <w:pPr>
        <w:pStyle w:val="BodyText"/>
      </w:pPr>
      <w:r>
        <w:t xml:space="preserve">أمر صرف المواد</w:t>
      </w:r>
    </w:p>
    <w:p>
      <w:pPr>
        <w:pStyle w:val="BodyText"/>
      </w:pPr>
      <w:r>
        <w:t xml:space="preserve">كشف حساب العميل</w:t>
      </w:r>
    </w:p>
    <w:p>
      <w:pPr>
        <w:pStyle w:val="BodyText"/>
      </w:pPr>
      <w:r>
        <w:t xml:space="preserve">قائمة دخل المشروع</w:t>
      </w:r>
    </w:p>
    <w:p>
      <w:pPr>
        <w:pStyle w:val="BodyText"/>
      </w:pPr>
      <w:r>
        <w:t xml:space="preserve">سجل الشيكات</w:t>
      </w:r>
    </w:p>
    <w:p>
      <w:pPr>
        <w:pStyle w:val="BodyText"/>
      </w:pPr>
      <w:r>
        <w:t xml:space="preserve">المركز البنكي للحسابات الأربعة</w:t>
      </w:r>
    </w:p>
    <w:p>
      <w:pPr>
        <w:pStyle w:val="BodyText"/>
      </w:pPr>
      <w:r>
        <w:t xml:space="preserve">أعمار الذمم</w:t>
      </w:r>
    </w:p>
    <w:p>
      <w:pPr>
        <w:pStyle w:val="BodyText"/>
      </w:pPr>
      <w:r>
        <w:t xml:space="preserve">التدفق النقدي المتوقع</w:t>
      </w:r>
    </w:p>
    <w:p>
      <w:pPr>
        <w:pStyle w:val="BodyText"/>
      </w:pPr>
      <w:r>
        <w:t xml:space="preserve">ملاحظة على المسار</w:t>
      </w:r>
    </w:p>
    <w:p>
      <w:pPr>
        <w:pStyle w:val="BodyText"/>
      </w:pPr>
      <w:r>
        <w:t xml:space="preserve">يجري إنتاج التقارير على دفعات بالتوازي مع تنفيذ الوحدات الأخرى خلال فترة التطبيق البالغة 8 إلى 10 أسابيع، فتصل المستندات الحرجة — عرض السعر والمستخلص الدوري — قبل الانطلاق الفعلي.</w:t>
      </w:r>
    </w:p>
    <w:p>
      <w:pPr>
        <w:pStyle w:val="BodyText"/>
      </w:pPr>
      <w:r>
        <w:t xml:space="preserve">تخصيص التقارير — الصفحة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المستخلص الدوري</w:t>
            </w:r>
          </w:p>
        </w:tc>
        <w:tc>
          <w:tcPr>
            <w:tcBorders>
              <w:bottom w:val="single"/>
            </w:tcBorders>
            <w:vAlign w:val="bottom"/>
          </w:tcPr>
          <w:p>
            <w:pPr>
              <w:pStyle w:val="Compact"/>
              <w:jc w:val="left"/>
            </w:pPr>
            <w:r>
              <w:t xml:space="preserve">نسب الإنجاز وبنود جدول الكميات</w:t>
            </w:r>
          </w:p>
        </w:tc>
      </w:tr>
      <w:tr>
        <w:tc>
          <w:p>
            <w:pPr>
              <w:pStyle w:val="Compact"/>
              <w:jc w:val="left"/>
            </w:pPr>
            <w:r>
              <w:t xml:space="preserve">قائمة دخل المشروع</w:t>
            </w:r>
          </w:p>
        </w:tc>
        <w:tc>
          <w:p>
            <w:pPr>
              <w:pStyle w:val="Compact"/>
              <w:jc w:val="left"/>
            </w:pPr>
            <w:r>
              <w:t xml:space="preserve">حسابات المشروع التحليلية</w:t>
            </w:r>
          </w:p>
        </w:tc>
      </w:tr>
      <w:tr>
        <w:tc>
          <w:p>
            <w:pPr>
              <w:pStyle w:val="Compact"/>
              <w:jc w:val="left"/>
            </w:pPr>
            <w:r>
              <w:t xml:space="preserve">سجل الشيكات</w:t>
            </w:r>
          </w:p>
        </w:tc>
        <w:tc>
          <w:p>
            <w:pPr>
              <w:pStyle w:val="Compact"/>
              <w:jc w:val="left"/>
            </w:pPr>
            <w:r>
              <w:t xml:space="preserve">دفتر الشيكات المرتبط بالمشروع</w:t>
            </w:r>
          </w:p>
        </w:tc>
      </w:tr>
      <w:tr>
        <w:tc>
          <w:p>
            <w:pPr>
              <w:pStyle w:val="Compact"/>
              <w:jc w:val="left"/>
            </w:pPr>
            <w:r>
              <w:t xml:space="preserve">المركز البنكي</w:t>
            </w:r>
          </w:p>
        </w:tc>
        <w:tc>
          <w:p>
            <w:pPr>
              <w:pStyle w:val="Compact"/>
              <w:jc w:val="left"/>
            </w:pPr>
            <w:r>
              <w:t xml:space="preserve">الحسابات البنكية الأربعة</w:t>
            </w:r>
          </w:p>
        </w:tc>
      </w:tr>
      <w:tr>
        <w:tc>
          <w:p>
            <w:pPr>
              <w:pStyle w:val="Compact"/>
              <w:jc w:val="left"/>
            </w:pPr>
            <w:r>
              <w:t xml:space="preserve">استهلاك المواد</w:t>
            </w:r>
          </w:p>
        </w:tc>
        <w:tc>
          <w:p>
            <w:pPr>
              <w:pStyle w:val="Compact"/>
              <w:jc w:val="left"/>
            </w:pPr>
            <w:r>
              <w:t xml:space="preserve">حركات المخزن وأوامر الصرف</w:t>
            </w:r>
          </w:p>
        </w:tc>
      </w:tr>
      <w:tr>
        <w:tc>
          <w:p>
            <w:pPr>
              <w:pStyle w:val="Compact"/>
              <w:jc w:val="left"/>
            </w:pPr>
            <w:r>
              <w:t xml:space="preserve">كشف حساب العميل</w:t>
            </w:r>
          </w:p>
        </w:tc>
        <w:tc>
          <w:p>
            <w:pPr>
              <w:pStyle w:val="Compact"/>
              <w:jc w:val="left"/>
            </w:pPr>
            <w:r>
              <w:t xml:space="preserve">قيود المحاسبة وفواتير المبيعات</w:t>
            </w:r>
          </w:p>
        </w:tc>
      </w:tr>
    </w:tbl>
    <w:p>
      <w:pPr>
        <w:pStyle w:val="BodyText"/>
      </w:pPr>
      <w:r>
        <w:t xml:space="preserve">وحدة تخصيص التقارير</w:t>
      </w:r>
    </w:p>
    <w:p>
      <w:pPr>
        <w:pStyle w:val="Heading3"/>
      </w:pPr>
      <w:bookmarkStart w:id="298" w:name="الوظائف-والإمكانات-7"/>
      <w:r>
        <w:t xml:space="preserve">الوظائف والإمكانات</w:t>
      </w:r>
      <w:bookmarkEnd w:id="298"/>
    </w:p>
    <w:p>
      <w:pPr>
        <w:pStyle w:val="FirstParagraph"/>
      </w:pPr>
      <w:r>
        <w:t xml:space="preserve">تفصيل ما يُسلَّم فعلياً: المستندات المطبوعة، المستخلص الدوري بحساباته، التقارير المالية والمصرفية، وأسلوب التنفيذ التقني وقنوات التوزيع.</w:t>
      </w:r>
    </w:p>
    <w:p>
      <w:pPr>
        <w:pStyle w:val="Heading3"/>
      </w:pPr>
      <w:bookmarkStart w:id="299" w:name="مستندات-دورة-العقد"/>
      <w:r>
        <w:t xml:space="preserve">مستندات دورة العقد</w:t>
      </w:r>
      <w:bookmarkEnd w:id="299"/>
    </w:p>
    <w:p>
      <w:pPr>
        <w:pStyle w:val="FirstParagraph"/>
      </w:pPr>
      <w:r>
        <w:t xml:space="preserve">من عرض السعر إلى كشف الحساب</w:t>
      </w:r>
    </w:p>
    <w:p>
      <w:pPr>
        <w:pStyle w:val="BodyText"/>
      </w:pPr>
      <w:r>
        <w:t xml:space="preserve">مستندات تُطبع مباشرة من النظام بصيغة الشركة، وكل مستند مرتبط بمشروعه وبعقده فلا تُفقد العلاقة بين الورقة والمشروع.</w:t>
      </w:r>
    </w:p>
    <w:p>
      <w:pPr>
        <w:numPr>
          <w:ilvl w:val="0"/>
          <w:numId w:val="1126"/>
        </w:numPr>
        <w:pStyle w:val="Compact"/>
      </w:pPr>
      <w:r>
        <w:t xml:space="preserve">عرض السعر بجدول الكميات: البند والوحدة والكمية والسعر</w:t>
      </w:r>
    </w:p>
    <w:p>
      <w:pPr>
        <w:numPr>
          <w:ilvl w:val="0"/>
          <w:numId w:val="1126"/>
        </w:numPr>
        <w:pStyle w:val="Compact"/>
      </w:pPr>
      <w:r>
        <w:t xml:space="preserve">عقد المقاولة ببنوده وجداوله وشروط الدفع</w:t>
      </w:r>
    </w:p>
    <w:p>
      <w:pPr>
        <w:numPr>
          <w:ilvl w:val="0"/>
          <w:numId w:val="1126"/>
        </w:numPr>
        <w:pStyle w:val="Compact"/>
      </w:pPr>
      <w:r>
        <w:t xml:space="preserve">أمر التغيير مرتبطاً بالعقد الأصلي وبأثره المالي</w:t>
      </w:r>
    </w:p>
    <w:p>
      <w:pPr>
        <w:numPr>
          <w:ilvl w:val="0"/>
          <w:numId w:val="1126"/>
        </w:numPr>
        <w:pStyle w:val="Compact"/>
      </w:pPr>
      <w:r>
        <w:t xml:space="preserve">أمر صرف المواد من المخزن إلى الموقع</w:t>
      </w:r>
    </w:p>
    <w:p>
      <w:pPr>
        <w:numPr>
          <w:ilvl w:val="0"/>
          <w:numId w:val="1126"/>
        </w:numPr>
        <w:pStyle w:val="Compact"/>
      </w:pPr>
      <w:r>
        <w:t xml:space="preserve">كشف حساب العميل بالحركات والرصيد المستحق</w:t>
      </w:r>
    </w:p>
    <w:p>
      <w:pPr>
        <w:pStyle w:val="Heading3"/>
      </w:pPr>
      <w:bookmarkStart w:id="300" w:name="المستخلص-الدوري-شهادة-الدفع"/>
      <w:r>
        <w:t xml:space="preserve">المستخلص الدوري (شهادة الدفع)</w:t>
      </w:r>
      <w:bookmarkEnd w:id="300"/>
    </w:p>
    <w:p>
      <w:pPr>
        <w:pStyle w:val="FirstParagraph"/>
      </w:pPr>
      <w:r>
        <w:t xml:space="preserve">أهم مستند في شركة المقاولات</w:t>
      </w:r>
    </w:p>
    <w:p>
      <w:pPr>
        <w:pStyle w:val="BodyText"/>
      </w:pPr>
      <w:r>
        <w:t xml:space="preserve">يُبنى المستخلص على نسب الإنجاز المعتمدة لكل بند، ويحسب الخصومات تلقائياً حتى صافي المستحق، بالصيغة المعتادة لدى الجهات الحكومية والاستشاريين.</w:t>
      </w:r>
    </w:p>
    <w:p>
      <w:pPr>
        <w:numPr>
          <w:ilvl w:val="0"/>
          <w:numId w:val="1127"/>
        </w:numPr>
        <w:pStyle w:val="Compact"/>
      </w:pPr>
      <w:r>
        <w:t xml:space="preserve">نسبة الإنجاز لكل بند من بنود جدول الكميات</w:t>
      </w:r>
    </w:p>
    <w:p>
      <w:pPr>
        <w:numPr>
          <w:ilvl w:val="0"/>
          <w:numId w:val="1127"/>
        </w:numPr>
        <w:pStyle w:val="Compact"/>
      </w:pPr>
      <w:r>
        <w:t xml:space="preserve">خصم الدفعة المقدمة بالنسبة المتفق عليها في العقد</w:t>
      </w:r>
    </w:p>
    <w:p>
      <w:pPr>
        <w:numPr>
          <w:ilvl w:val="0"/>
          <w:numId w:val="1127"/>
        </w:numPr>
        <w:pStyle w:val="Compact"/>
      </w:pPr>
      <w:r>
        <w:t xml:space="preserve">حجز المحتجزات (ضمان حسن التنفيذ) وتتبع الإفراج عنها</w:t>
      </w:r>
    </w:p>
    <w:p>
      <w:pPr>
        <w:numPr>
          <w:ilvl w:val="0"/>
          <w:numId w:val="1127"/>
        </w:numPr>
        <w:pStyle w:val="Compact"/>
      </w:pPr>
      <w:r>
        <w:t xml:space="preserve">صافي المستحق بعد الخصومات والمستخلصات السابقة</w:t>
      </w:r>
    </w:p>
    <w:p>
      <w:pPr>
        <w:numPr>
          <w:ilvl w:val="0"/>
          <w:numId w:val="1127"/>
        </w:numPr>
        <w:pStyle w:val="Compact"/>
      </w:pPr>
      <w:r>
        <w:t xml:space="preserve">مستخلص مقاول الباطن بالمنطق نفسه ومربوطاً بالمشروع</w:t>
      </w:r>
    </w:p>
    <w:p>
      <w:pPr>
        <w:pStyle w:val="Heading3"/>
      </w:pPr>
      <w:bookmarkStart w:id="301" w:name="التقارير-المالية-والمصرفية"/>
      <w:r>
        <w:t xml:space="preserve">التقارير المالية والمصرفية</w:t>
      </w:r>
      <w:bookmarkEnd w:id="301"/>
    </w:p>
    <w:p>
      <w:pPr>
        <w:pStyle w:val="FirstParagraph"/>
      </w:pPr>
      <w:r>
        <w:t xml:space="preserve">الشيكات والبنوك والذمم</w:t>
      </w:r>
    </w:p>
    <w:p>
      <w:pPr>
        <w:pStyle w:val="BodyText"/>
      </w:pPr>
      <w:r>
        <w:t xml:space="preserve">لأن التحصيل يتم غالباً بالشيكات، يحتل سجل الشيكات موقع الصدارة إلى جانب تقرير المركز البنكي للحسابات الأربعة.</w:t>
      </w:r>
    </w:p>
    <w:p>
      <w:pPr>
        <w:numPr>
          <w:ilvl w:val="0"/>
          <w:numId w:val="1128"/>
        </w:numPr>
        <w:pStyle w:val="Compact"/>
      </w:pPr>
      <w:r>
        <w:t xml:space="preserve">قائمة دخل لكل مشروع وتقرير الإيراد مقابل التكلفة</w:t>
      </w:r>
    </w:p>
    <w:p>
      <w:pPr>
        <w:numPr>
          <w:ilvl w:val="0"/>
          <w:numId w:val="1128"/>
        </w:numPr>
        <w:pStyle w:val="Compact"/>
      </w:pPr>
      <w:r>
        <w:t xml:space="preserve">سجل الشيكات (مستلمة وصادرة) بالحالة وتاريخ الاستحقاق والمشروع</w:t>
      </w:r>
    </w:p>
    <w:p>
      <w:pPr>
        <w:numPr>
          <w:ilvl w:val="0"/>
          <w:numId w:val="1128"/>
        </w:numPr>
        <w:pStyle w:val="Compact"/>
      </w:pPr>
      <w:r>
        <w:t xml:space="preserve">تقرير المركز البنكي للحسابات الأربعة في صفحة واحدة</w:t>
      </w:r>
    </w:p>
    <w:p>
      <w:pPr>
        <w:numPr>
          <w:ilvl w:val="0"/>
          <w:numId w:val="1128"/>
        </w:numPr>
        <w:pStyle w:val="Compact"/>
      </w:pPr>
      <w:r>
        <w:t xml:space="preserve">تقرير أعمار الذمم بتصنيف فترات التأخر</w:t>
      </w:r>
    </w:p>
    <w:p>
      <w:pPr>
        <w:numPr>
          <w:ilvl w:val="0"/>
          <w:numId w:val="1128"/>
        </w:numPr>
        <w:pStyle w:val="Compact"/>
      </w:pPr>
      <w:r>
        <w:t xml:space="preserve">تقرير التدفق النقدي المتوقع للأسابيع القادمة</w:t>
      </w:r>
    </w:p>
    <w:p>
      <w:pPr>
        <w:pStyle w:val="Heading3"/>
      </w:pPr>
      <w:bookmarkStart w:id="302" w:name="أسلوب-التنفيذ-والصلاحيات"/>
      <w:r>
        <w:t xml:space="preserve">أسلوب التنفيذ والصلاحيات</w:t>
      </w:r>
      <w:bookmarkEnd w:id="302"/>
    </w:p>
    <w:p>
      <w:pPr>
        <w:pStyle w:val="FirstParagraph"/>
      </w:pPr>
      <w:r>
        <w:t xml:space="preserve">أدوات قياسية وترقيات آمنة</w:t>
      </w:r>
    </w:p>
    <w:p>
      <w:pPr>
        <w:pStyle w:val="BodyText"/>
      </w:pPr>
      <w:r>
        <w:t xml:space="preserve">يجري البناء بأدوات Odoo القياسية مع مراعاة اتجاه الكتابة العربية وتنسيق الأرقام والعملة، ثم تُضبط قنوات التوزيع والصلاحيات.</w:t>
      </w:r>
    </w:p>
    <w:p>
      <w:pPr>
        <w:numPr>
          <w:ilvl w:val="0"/>
          <w:numId w:val="1129"/>
        </w:numPr>
        <w:pStyle w:val="Compact"/>
      </w:pPr>
      <w:r>
        <w:t xml:space="preserve">البناء بـ Studio و QWeb دون المساس بنواة النظام</w:t>
      </w:r>
    </w:p>
    <w:p>
      <w:pPr>
        <w:numPr>
          <w:ilvl w:val="0"/>
          <w:numId w:val="1129"/>
        </w:numPr>
        <w:pStyle w:val="Compact"/>
      </w:pPr>
      <w:r>
        <w:t xml:space="preserve">اتجاه عربي صحيح وتنسيق عملة KWD في كل مستند</w:t>
      </w:r>
    </w:p>
    <w:p>
      <w:pPr>
        <w:numPr>
          <w:ilvl w:val="0"/>
          <w:numId w:val="1129"/>
        </w:numPr>
        <w:pStyle w:val="Compact"/>
      </w:pPr>
      <w:r>
        <w:t xml:space="preserve">جدولة إرسال التقارير دورياً بالبريد الإلكتروني</w:t>
      </w:r>
    </w:p>
    <w:p>
      <w:pPr>
        <w:numPr>
          <w:ilvl w:val="0"/>
          <w:numId w:val="1129"/>
        </w:numPr>
        <w:pStyle w:val="Compact"/>
      </w:pPr>
      <w:r>
        <w:t xml:space="preserve">صلاحيات وصول تحدد من يرى تقارير أي مشروع</w:t>
      </w:r>
    </w:p>
    <w:p>
      <w:pPr>
        <w:numPr>
          <w:ilvl w:val="0"/>
          <w:numId w:val="1129"/>
        </w:numPr>
        <w:pStyle w:val="Compact"/>
      </w:pPr>
      <w:r>
        <w:t xml:space="preserve">تصدير PDF و Excel لكل تقرير قابل للتحليل</w:t>
      </w:r>
    </w:p>
    <w:p>
      <w:pPr>
        <w:pStyle w:val="Heading3"/>
      </w:pPr>
      <w:bookmarkStart w:id="303" w:name="صيغ-المخرجات-وقنوات-التوزيع"/>
      <w:r>
        <w:t xml:space="preserve">صيغ المخرجات وقنوات التوزيع</w:t>
      </w:r>
      <w:bookmarkEnd w:id="303"/>
    </w:p>
    <w:p>
      <w:pPr>
        <w:pStyle w:val="FirstParagraph"/>
      </w:pPr>
      <w:r>
        <w:t xml:space="preserve">التقرير الواحد يصل بالشكل الذي يناسب مستلمه دون إعادة إعداد</w:t>
      </w:r>
    </w:p>
    <w:p>
      <w:pPr>
        <w:pStyle w:val="BodyText"/>
      </w:pPr>
      <w:r>
        <w:t xml:space="preserve">مستند PDF</w:t>
      </w:r>
    </w:p>
    <w:p>
      <w:pPr>
        <w:pStyle w:val="BodyText"/>
      </w:pPr>
      <w:r>
        <w:t xml:space="preserve">بترويسة الشركة وجاهز للتوقيع</w:t>
      </w:r>
    </w:p>
    <w:p>
      <w:pPr>
        <w:pStyle w:val="BodyText"/>
      </w:pPr>
      <w:r>
        <w:t xml:space="preserve">جدول Excel</w:t>
      </w:r>
    </w:p>
    <w:p>
      <w:pPr>
        <w:pStyle w:val="BodyText"/>
      </w:pPr>
      <w:r>
        <w:t xml:space="preserve">للتحليل وإعادة الفرز</w:t>
      </w:r>
    </w:p>
    <w:p>
      <w:pPr>
        <w:pStyle w:val="BodyText"/>
      </w:pPr>
      <w:r>
        <w:t xml:space="preserve">بريد مجدول</w:t>
      </w:r>
    </w:p>
    <w:p>
      <w:pPr>
        <w:pStyle w:val="BodyText"/>
      </w:pPr>
      <w:r>
        <w:t xml:space="preserve">إرسال دوري تلقائي للإدارة</w:t>
      </w:r>
    </w:p>
    <w:p>
      <w:pPr>
        <w:pStyle w:val="BodyText"/>
      </w:pPr>
      <w:r>
        <w:t xml:space="preserve">طباعة مباشرة</w:t>
      </w:r>
    </w:p>
    <w:p>
      <w:pPr>
        <w:pStyle w:val="BodyText"/>
      </w:pPr>
      <w:r>
        <w:t xml:space="preserve">من شاشة المشروع أو العقد</w:t>
      </w:r>
    </w:p>
    <w:p>
      <w:pPr>
        <w:pStyle w:val="BodyText"/>
      </w:pPr>
      <w:r>
        <w:t xml:space="preserve">أرشفة داخل النظام</w:t>
      </w:r>
    </w:p>
    <w:p>
      <w:pPr>
        <w:pStyle w:val="BodyText"/>
      </w:pPr>
      <w:r>
        <w:t xml:space="preserve">كل نسخة محفوظة بملف مشروعها</w:t>
      </w:r>
    </w:p>
    <w:p>
      <w:pPr>
        <w:pStyle w:val="BodyText"/>
      </w:pPr>
      <w:r>
        <w:t xml:space="preserve">ملاحظة على الصلاحيات</w:t>
      </w:r>
    </w:p>
    <w:p>
      <w:pPr>
        <w:pStyle w:val="BodyText"/>
      </w:pPr>
      <w:r>
        <w:t xml:space="preserve">تُضبط الصلاحيات على مستوى المشروع: مهندس الموقع يرى تقارير مشروعه فقط، ومدير المشاريع يرى المشاريع التابعة له، والإدارة العليا ترى الصورة المجمَّعة لكل الشركة.</w:t>
      </w:r>
    </w:p>
    <w:p>
      <w:pPr>
        <w:pStyle w:val="BodyText"/>
      </w:pPr>
      <w:r>
        <w:t xml:space="preserve">تخصيص التقارير — الصفحة</w:t>
      </w:r>
    </w:p>
    <w:p>
      <w:pPr>
        <w:pStyle w:val="BodyText"/>
      </w:pPr>
      <w:r>
        <w:t xml:space="preserve">وحدة تخصيص التقارير</w:t>
      </w:r>
    </w:p>
    <w:p>
      <w:pPr>
        <w:pStyle w:val="Heading3"/>
      </w:pPr>
      <w:bookmarkStart w:id="304" w:name="مخرجات-التقارير-ومؤشرات-الأثر"/>
      <w:r>
        <w:t xml:space="preserve">مخرجات التقارير ومؤشرات الأثر</w:t>
      </w:r>
      <w:bookmarkEnd w:id="304"/>
    </w:p>
    <w:p>
      <w:pPr>
        <w:pStyle w:val="FirstParagraph"/>
      </w:pPr>
      <w:r>
        <w:t xml:space="preserve">أمثلة على ما تخرجه الوحدة فعلياً، والمؤشرات التي تُقاس بها قيمتها بعد التشغيل: عدد التقارير المخصَّصة، زمن إصدار التقرير، ونسبة التقارير المؤتمتة.</w:t>
      </w:r>
    </w:p>
    <w:p>
      <w:pPr>
        <w:pStyle w:val="Heading3"/>
      </w:pPr>
      <w:bookmarkStart w:id="305" w:name="حزمة-تقارير-الإدارة-الشهرية"/>
      <w:r>
        <w:t xml:space="preserve">حزمة تقارير الإدارة الشهرية</w:t>
      </w:r>
      <w:bookmarkEnd w:id="305"/>
    </w:p>
    <w:p>
      <w:pPr>
        <w:pStyle w:val="FirstParagraph"/>
      </w:pPr>
      <w:r>
        <w:t xml:space="preserve">تقرير واحد يجمع كل المشاريع</w:t>
      </w:r>
    </w:p>
    <w:p>
      <w:pPr>
        <w:pStyle w:val="BodyText"/>
      </w:pPr>
      <w:r>
        <w:t xml:space="preserve">حزمة تصدر في تاريخ ثابت من كل شهر، تجمع الشركة كلها في صفحة أولى ثم تفصّل كل مشروع على حدة، جاهزة لاجتماع الإدارة دون إعداد يدوي.</w:t>
      </w:r>
    </w:p>
    <w:p>
      <w:pPr>
        <w:numPr>
          <w:ilvl w:val="0"/>
          <w:numId w:val="1130"/>
        </w:numPr>
        <w:pStyle w:val="Compact"/>
      </w:pPr>
      <w:r>
        <w:t xml:space="preserve">ملخص مجمَّع: إيرادات ومصروفات وصافي ربح الشركة</w:t>
      </w:r>
    </w:p>
    <w:p>
      <w:pPr>
        <w:numPr>
          <w:ilvl w:val="0"/>
          <w:numId w:val="1130"/>
        </w:numPr>
        <w:pStyle w:val="Compact"/>
      </w:pPr>
      <w:r>
        <w:t xml:space="preserve">صفحة لكل مشروع: الإنجاز والتكلفة والربحية</w:t>
      </w:r>
    </w:p>
    <w:p>
      <w:pPr>
        <w:numPr>
          <w:ilvl w:val="0"/>
          <w:numId w:val="1130"/>
        </w:numPr>
        <w:pStyle w:val="Compact"/>
      </w:pPr>
      <w:r>
        <w:t xml:space="preserve">موقف التحصيل والشيكات تحت التحصيل</w:t>
      </w:r>
    </w:p>
    <w:p>
      <w:pPr>
        <w:numPr>
          <w:ilvl w:val="0"/>
          <w:numId w:val="1130"/>
        </w:numPr>
        <w:pStyle w:val="Compact"/>
      </w:pPr>
      <w:r>
        <w:t xml:space="preserve">أرصدة الحسابات البنكية الأربعة والتدفق المتوقع</w:t>
      </w:r>
    </w:p>
    <w:p>
      <w:pPr>
        <w:pStyle w:val="Heading3"/>
      </w:pPr>
      <w:bookmarkStart w:id="306" w:name="أمثلة-على-مخرجات-التقارير"/>
      <w:r>
        <w:t xml:space="preserve">أمثلة على مخرجات التقارير</w:t>
      </w:r>
      <w:bookmarkEnd w:id="306"/>
    </w:p>
    <w:p>
      <w:pPr>
        <w:pStyle w:val="FirstParagraph"/>
      </w:pPr>
      <w:r>
        <w:t xml:space="preserve">ماذا يظهر في المستند النهائي</w:t>
      </w:r>
    </w:p>
    <w:p>
      <w:pPr>
        <w:pStyle w:val="Heading3"/>
      </w:pPr>
      <w:bookmarkStart w:id="307" w:name="التقارير-التشغيلية"/>
      <w:r>
        <w:t xml:space="preserve">التقارير التشغيلية</w:t>
      </w:r>
      <w:bookmarkEnd w:id="307"/>
    </w:p>
    <w:p>
      <w:pPr>
        <w:pStyle w:val="FirstParagraph"/>
      </w:pPr>
      <w:r>
        <w:t xml:space="preserve">المواد والمعدات والعمالة والمناقصات</w:t>
      </w:r>
    </w:p>
    <w:p>
      <w:pPr>
        <w:pStyle w:val="BodyText"/>
      </w:pPr>
      <w:r>
        <w:t xml:space="preserve">تقارير تكشف أين تُستهلك الموارد فعلياً، فتربط الصرف في الموقع بالتكلفة في الحسابات وتُظهر انحراف التكلفة قبل أن يكبر.</w:t>
      </w:r>
    </w:p>
    <w:p>
      <w:pPr>
        <w:numPr>
          <w:ilvl w:val="0"/>
          <w:numId w:val="1131"/>
        </w:numPr>
        <w:pStyle w:val="Compact"/>
      </w:pPr>
      <w:r>
        <w:t xml:space="preserve">استهلاك المواد لكل مشروع مقارنةً بالمخطط</w:t>
      </w:r>
    </w:p>
    <w:p>
      <w:pPr>
        <w:numPr>
          <w:ilvl w:val="0"/>
          <w:numId w:val="1131"/>
        </w:numPr>
        <w:pStyle w:val="Compact"/>
      </w:pPr>
      <w:r>
        <w:t xml:space="preserve">توزيع المعدات والآليات على المواقع ومدد التشغيل</w:t>
      </w:r>
    </w:p>
    <w:p>
      <w:pPr>
        <w:numPr>
          <w:ilvl w:val="0"/>
          <w:numId w:val="1131"/>
        </w:numPr>
        <w:pStyle w:val="Compact"/>
      </w:pPr>
      <w:r>
        <w:t xml:space="preserve">تكلفة العمالة ومقاولي الباطن لكل مشروع</w:t>
      </w:r>
    </w:p>
    <w:p>
      <w:pPr>
        <w:numPr>
          <w:ilvl w:val="0"/>
          <w:numId w:val="1131"/>
        </w:numPr>
        <w:pStyle w:val="Compact"/>
      </w:pPr>
      <w:r>
        <w:t xml:space="preserve">متابعة المناقصات الحكومية: المقدَّمة والمرسى عليها</w:t>
      </w:r>
    </w:p>
    <w:p>
      <w:pPr>
        <w:pStyle w:val="Heading3"/>
      </w:pPr>
      <w:bookmarkStart w:id="308" w:name="مؤشرات-قياس-أثر-الوحدة"/>
      <w:r>
        <w:t xml:space="preserve">مؤشرات قياس أثر الوحدة</w:t>
      </w:r>
      <w:bookmarkEnd w:id="308"/>
    </w:p>
    <w:p>
      <w:pPr>
        <w:pStyle w:val="FirstParagraph"/>
      </w:pPr>
      <w:r>
        <w:t xml:space="preserve">ما يُقاس بعد التشغيل</w:t>
      </w:r>
    </w:p>
    <w:p>
      <w:pPr>
        <w:pStyle w:val="BodyText"/>
      </w:pPr>
      <w:r>
        <w:t xml:space="preserve">تُقاس قيمة التخصيص بمؤشرات ملموسة تُراجَع مع الإدارة خلال فترة الدعم المشمولة، لا بانطباع عام عن شكل المستندات.</w:t>
      </w:r>
    </w:p>
    <w:p>
      <w:pPr>
        <w:numPr>
          <w:ilvl w:val="0"/>
          <w:numId w:val="1132"/>
        </w:numPr>
        <w:pStyle w:val="Compact"/>
      </w:pPr>
      <w:r>
        <w:t xml:space="preserve">عدد التقارير والمستندات المخصَّصة التي دخلت الخدمة</w:t>
      </w:r>
    </w:p>
    <w:p>
      <w:pPr>
        <w:numPr>
          <w:ilvl w:val="0"/>
          <w:numId w:val="1132"/>
        </w:numPr>
        <w:pStyle w:val="Compact"/>
      </w:pPr>
      <w:r>
        <w:t xml:space="preserve">زمن إصدار التقرير من الطلب حتى المستند النهائي</w:t>
      </w:r>
    </w:p>
    <w:p>
      <w:pPr>
        <w:numPr>
          <w:ilvl w:val="0"/>
          <w:numId w:val="1132"/>
        </w:numPr>
        <w:pStyle w:val="Compact"/>
      </w:pPr>
      <w:r>
        <w:t xml:space="preserve">نسبة التقارير المؤتمتة بدل الإعداد اليدوي على جداول البيانات</w:t>
      </w:r>
    </w:p>
    <w:p>
      <w:pPr>
        <w:numPr>
          <w:ilvl w:val="0"/>
          <w:numId w:val="1132"/>
        </w:numPr>
        <w:pStyle w:val="Compact"/>
      </w:pPr>
      <w:r>
        <w:t xml:space="preserve">عدد دورات المراجعة المستهلكة لكل تقرير قبل الاعتماد</w:t>
      </w:r>
    </w:p>
    <w:p>
      <w:pPr>
        <w:pStyle w:val="Heading3"/>
      </w:pPr>
      <w:bookmarkStart w:id="309" w:name="X8aba07d9671707c3d589dc8b743c9ea8b70d3de"/>
      <w:r>
        <w:t xml:space="preserve">مؤشرات الأداء الرئيسية — وحدة تخصيص التقارير</w:t>
      </w:r>
      <w:bookmarkEnd w:id="309"/>
    </w:p>
    <w:p>
      <w:pPr>
        <w:pStyle w:val="FirstParagraph"/>
      </w:pPr>
      <w:r>
        <w:t xml:space="preserve">تُتابَع مع الإدارة بعد الانطلاق الفعلي وخلال فترة الدعم</w:t>
      </w:r>
    </w:p>
    <w:p>
      <w:pPr>
        <w:pStyle w:val="BodyText"/>
      </w:pPr>
      <w:r>
        <w:t xml:space="preserve">دقائق</w:t>
      </w:r>
    </w:p>
    <w:p>
      <w:pPr>
        <w:pStyle w:val="BodyText"/>
      </w:pPr>
      <w:r>
        <w:t xml:space="preserve">زمن إصدار التقرير</w:t>
      </w:r>
    </w:p>
    <w:p>
      <w:pPr>
        <w:pStyle w:val="BodyText"/>
      </w:pPr>
      <w:r>
        <w:t xml:space="preserve">بدل ساعات الإعداد اليدوي</w:t>
      </w:r>
    </w:p>
    <w:p>
      <w:pPr>
        <w:pStyle w:val="BodyText"/>
      </w:pPr>
      <w:r>
        <w:t xml:space="preserve">نسبة التقارير المؤتمتة</w:t>
      </w:r>
    </w:p>
    <w:p>
      <w:pPr>
        <w:pStyle w:val="BodyText"/>
      </w:pPr>
      <w:r>
        <w:t xml:space="preserve">بدل جداول البيانات الجانبية</w:t>
      </w:r>
    </w:p>
    <w:p>
      <w:pPr>
        <w:pStyle w:val="BodyText"/>
      </w:pPr>
      <w:r>
        <w:t xml:space="preserve">حسابات بنكية</w:t>
      </w:r>
    </w:p>
    <w:p>
      <w:pPr>
        <w:pStyle w:val="BodyText"/>
      </w:pPr>
      <w:r>
        <w:t xml:space="preserve">في تقرير مركز بنكي واحد</w:t>
      </w:r>
    </w:p>
    <w:p>
      <w:pPr>
        <w:pStyle w:val="BodyText"/>
      </w:pPr>
      <w:r>
        <w:t xml:space="preserve">دورتا مراجعة لكل تقرير</w:t>
      </w:r>
    </w:p>
    <w:p>
      <w:pPr>
        <w:pStyle w:val="BodyText"/>
      </w:pPr>
      <w:r>
        <w:t xml:space="preserve">قبل اعتماد النموذج النهائي</w:t>
      </w:r>
    </w:p>
    <w:p>
      <w:pPr>
        <w:pStyle w:val="BodyText"/>
      </w:pPr>
      <w:r>
        <w:t xml:space="preserve">شهراً من الدعم المشمول</w:t>
      </w:r>
    </w:p>
    <w:p>
      <w:pPr>
        <w:pStyle w:val="BodyText"/>
      </w:pPr>
      <w:r>
        <w:t xml:space="preserve">تحسينات على التقارير خلالها</w:t>
      </w:r>
    </w:p>
    <w:p>
      <w:pPr>
        <w:pStyle w:val="BodyText"/>
      </w:pPr>
      <w:r>
        <w:t xml:space="preserve">ملاحظة على التقارير</w:t>
      </w:r>
    </w:p>
    <w:p>
      <w:pPr>
        <w:pStyle w:val="BodyText"/>
      </w:pPr>
      <w:r>
        <w:t xml:space="preserve">كل تقرير في هذه الصفحة قابل للتصفية حسب المشروع والفترة والعميل، ويُصدَّر إلى Excel للتحليل أو إلى PDF للعرض على الإدارة ومجلس المديرين.</w:t>
      </w:r>
    </w:p>
    <w:p>
      <w:pPr>
        <w:pStyle w:val="BodyText"/>
      </w:pPr>
      <w:r>
        <w:t xml:space="preserve">تخصيص التقارير — الصفحة</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المستخلص الدوري</w:t>
            </w:r>
          </w:p>
        </w:tc>
        <w:tc>
          <w:tcPr>
            <w:tcBorders>
              <w:bottom w:val="single"/>
            </w:tcBorders>
            <w:vAlign w:val="bottom"/>
          </w:tcPr>
          <w:p>
            <w:pPr>
              <w:pStyle w:val="Compact"/>
              <w:jc w:val="left"/>
            </w:pPr>
            <w:r>
              <w:t xml:space="preserve">نسب الإنجاز وصافي المستحق</w:t>
            </w:r>
          </w:p>
        </w:tc>
      </w:tr>
      <w:tr>
        <w:tc>
          <w:p>
            <w:pPr>
              <w:pStyle w:val="Compact"/>
              <w:jc w:val="left"/>
            </w:pPr>
            <w:r>
              <w:t xml:space="preserve">قائمة دخل المشروع</w:t>
            </w:r>
          </w:p>
        </w:tc>
        <w:tc>
          <w:p>
            <w:pPr>
              <w:pStyle w:val="Compact"/>
              <w:jc w:val="left"/>
            </w:pPr>
            <w:r>
              <w:t xml:space="preserve">إيراد وتكلفة وربح لكل مشروع</w:t>
            </w:r>
          </w:p>
        </w:tc>
      </w:tr>
      <w:tr>
        <w:tc>
          <w:p>
            <w:pPr>
              <w:pStyle w:val="Compact"/>
              <w:jc w:val="left"/>
            </w:pPr>
            <w:r>
              <w:t xml:space="preserve">سجل الشيكات</w:t>
            </w:r>
          </w:p>
        </w:tc>
        <w:tc>
          <w:p>
            <w:pPr>
              <w:pStyle w:val="Compact"/>
              <w:jc w:val="left"/>
            </w:pPr>
            <w:r>
              <w:t xml:space="preserve">الحالة والاستحقاق والمشروع</w:t>
            </w:r>
          </w:p>
        </w:tc>
      </w:tr>
      <w:tr>
        <w:tc>
          <w:p>
            <w:pPr>
              <w:pStyle w:val="Compact"/>
              <w:jc w:val="left"/>
            </w:pPr>
            <w:r>
              <w:t xml:space="preserve">المركز البنكي</w:t>
            </w:r>
          </w:p>
        </w:tc>
        <w:tc>
          <w:p>
            <w:pPr>
              <w:pStyle w:val="Compact"/>
              <w:jc w:val="left"/>
            </w:pPr>
            <w:r>
              <w:t xml:space="preserve">أرصدة 4 حسابات في صفحة</w:t>
            </w:r>
          </w:p>
        </w:tc>
      </w:tr>
      <w:tr>
        <w:tc>
          <w:p>
            <w:pPr>
              <w:pStyle w:val="Compact"/>
              <w:jc w:val="left"/>
            </w:pPr>
            <w:r>
              <w:t xml:space="preserve">أعمار الذمم</w:t>
            </w:r>
          </w:p>
        </w:tc>
        <w:tc>
          <w:p>
            <w:pPr>
              <w:pStyle w:val="Compact"/>
              <w:jc w:val="left"/>
            </w:pPr>
            <w:r>
              <w:t xml:space="preserve">تصنيف المديونية حسب التأخر</w:t>
            </w:r>
          </w:p>
        </w:tc>
      </w:tr>
      <w:tr>
        <w:tc>
          <w:p>
            <w:pPr>
              <w:pStyle w:val="Compact"/>
              <w:jc w:val="left"/>
            </w:pPr>
            <w:r>
              <w:t xml:space="preserve">التدفق النقدي المتوقع</w:t>
            </w:r>
          </w:p>
        </w:tc>
        <w:tc>
          <w:p>
            <w:pPr>
              <w:pStyle w:val="Compact"/>
              <w:jc w:val="left"/>
            </w:pPr>
            <w:r>
              <w:t xml:space="preserve">متحصلات ومدفوعات قادمة</w:t>
            </w:r>
          </w:p>
        </w:tc>
      </w:tr>
    </w:tbl>
    <w:p>
      <w:pPr>
        <w:pStyle w:val="BodyText"/>
      </w:pPr>
      <w:r>
        <w:t xml:space="preserve">وحدة تخصيص التقارير</w:t>
      </w:r>
    </w:p>
    <w:p>
      <w:pPr>
        <w:pStyle w:val="Heading3"/>
      </w:pPr>
      <w:bookmarkStart w:id="310" w:name="القيمة-المضافة-والتكامل-7"/>
      <w:r>
        <w:t xml:space="preserve">القيمة المضافة والتكامل</w:t>
      </w:r>
      <w:bookmarkEnd w:id="310"/>
    </w:p>
    <w:p>
      <w:pPr>
        <w:pStyle w:val="FirstParagraph"/>
      </w:pPr>
      <w:r>
        <w:t xml:space="preserve">التقارير لا تُبنى في معزل: بياناتها تُسحب مباشرة من المحاسبة والمبيعات والمشتريات والمخازن دون إدخال يدوي، ومخرجاتها تغذّي لوحات المعلومات الإدارية.</w:t>
      </w:r>
    </w:p>
    <w:p>
      <w:pPr>
        <w:pStyle w:val="Heading3"/>
      </w:pPr>
      <w:bookmarkStart w:id="311" w:name="مصادر-البيانات-دون-إدخال-يدوي"/>
      <w:r>
        <w:t xml:space="preserve">مصادر البيانات دون إدخال يدوي</w:t>
      </w:r>
      <w:bookmarkEnd w:id="311"/>
    </w:p>
    <w:p>
      <w:pPr>
        <w:pStyle w:val="FirstParagraph"/>
      </w:pPr>
      <w:r>
        <w:t xml:space="preserve">منظومة واحدة مترابطة</w:t>
      </w:r>
    </w:p>
    <w:p>
      <w:pPr>
        <w:pStyle w:val="BodyText"/>
      </w:pPr>
      <w:r>
        <w:t xml:space="preserve">كل رقم في أي تقرير له أصل في مستند تشغيلي مسجَّل، فينتفي التعارض بين تقارير الأقسام ويصبح الرقم الواحد مصدره واحد.</w:t>
      </w:r>
    </w:p>
    <w:p>
      <w:pPr>
        <w:numPr>
          <w:ilvl w:val="0"/>
          <w:numId w:val="1133"/>
        </w:numPr>
        <w:pStyle w:val="Compact"/>
      </w:pPr>
      <w:r>
        <w:t xml:space="preserve">Accounting : القيود والفواتير والشيكات والحسابات البنكية</w:t>
      </w:r>
    </w:p>
    <w:p>
      <w:pPr>
        <w:numPr>
          <w:ilvl w:val="0"/>
          <w:numId w:val="1133"/>
        </w:numPr>
        <w:pStyle w:val="Compact"/>
      </w:pPr>
      <w:r>
        <w:t xml:space="preserve">Sales : عروض الأسعار والعقود وجداول الكميات</w:t>
      </w:r>
    </w:p>
    <w:p>
      <w:pPr>
        <w:numPr>
          <w:ilvl w:val="0"/>
          <w:numId w:val="1133"/>
        </w:numPr>
        <w:pStyle w:val="Compact"/>
      </w:pPr>
      <w:r>
        <w:t xml:space="preserve">Purchase : مشتريات المواد وعقود مقاولي الباطن</w:t>
      </w:r>
    </w:p>
    <w:p>
      <w:pPr>
        <w:numPr>
          <w:ilvl w:val="0"/>
          <w:numId w:val="1133"/>
        </w:numPr>
        <w:pStyle w:val="Compact"/>
      </w:pPr>
      <w:r>
        <w:t xml:space="preserve">Inventory : أوامر الصرف وحركة المواد بين المواقع</w:t>
      </w:r>
    </w:p>
    <w:p>
      <w:pPr>
        <w:pStyle w:val="Heading3"/>
      </w:pPr>
      <w:bookmarkStart w:id="312" w:name="تغذية-لوحات-المعلومات-الإدارية"/>
      <w:r>
        <w:t xml:space="preserve">تغذية لوحات المعلومات الإدارية</w:t>
      </w:r>
      <w:bookmarkEnd w:id="312"/>
    </w:p>
    <w:p>
      <w:pPr>
        <w:pStyle w:val="FirstParagraph"/>
      </w:pPr>
      <w:r>
        <w:t xml:space="preserve">من المستند إلى شاشة القرار</w:t>
      </w:r>
    </w:p>
    <w:p>
      <w:pPr>
        <w:pStyle w:val="BodyText"/>
      </w:pPr>
      <w:r>
        <w:t xml:space="preserve">القوالب نفسها التي تُنتج المستندات المطبوعة تغذّي مؤشرات لوحة الإدارة، فيرى المدير الصورة على الشاشة ويطبعها بالتفصيل عند الحاجة.</w:t>
      </w:r>
    </w:p>
    <w:p>
      <w:pPr>
        <w:numPr>
          <w:ilvl w:val="0"/>
          <w:numId w:val="1134"/>
        </w:numPr>
        <w:pStyle w:val="Compact"/>
      </w:pPr>
      <w:r>
        <w:t xml:space="preserve">ربحية كل مشروع على لوحة واحدة مقارنةً بالمخطط</w:t>
      </w:r>
    </w:p>
    <w:p>
      <w:pPr>
        <w:numPr>
          <w:ilvl w:val="0"/>
          <w:numId w:val="1134"/>
        </w:numPr>
        <w:pStyle w:val="Compact"/>
      </w:pPr>
      <w:r>
        <w:t xml:space="preserve">موقف التحصيل والشيكات تحت التحصيل لحظياً</w:t>
      </w:r>
    </w:p>
    <w:p>
      <w:pPr>
        <w:numPr>
          <w:ilvl w:val="0"/>
          <w:numId w:val="1134"/>
        </w:numPr>
        <w:pStyle w:val="Compact"/>
      </w:pPr>
      <w:r>
        <w:t xml:space="preserve">أرصدة الحسابات البنكية الأربعة والتدفق المتوقع</w:t>
      </w:r>
    </w:p>
    <w:p>
      <w:pPr>
        <w:numPr>
          <w:ilvl w:val="0"/>
          <w:numId w:val="1134"/>
        </w:numPr>
        <w:pStyle w:val="Compact"/>
      </w:pPr>
      <w:r>
        <w:t xml:space="preserve">الانتقال من المؤشر إلى تفاصيل المشروع بنقرة واحدة</w:t>
      </w:r>
    </w:p>
    <w:p>
      <w:pPr>
        <w:pStyle w:val="Heading3"/>
      </w:pPr>
      <w:bookmarkStart w:id="313" w:name="الجدولة-والتوزيع-والصلاحيات"/>
      <w:r>
        <w:t xml:space="preserve">الجدولة والتوزيع والصلاحيات</w:t>
      </w:r>
      <w:bookmarkEnd w:id="313"/>
    </w:p>
    <w:p>
      <w:pPr>
        <w:pStyle w:val="FirstParagraph"/>
      </w:pPr>
      <w:r>
        <w:t xml:space="preserve">التقرير يصل من تلقائه</w:t>
      </w:r>
    </w:p>
    <w:p>
      <w:pPr>
        <w:pStyle w:val="BodyText"/>
      </w:pPr>
      <w:r>
        <w:t xml:space="preserve">بدل أن يطلب المدير التقرير، يصله في موعده المحدد بالبريد الإلكتروني، وبنطاق بيانات يحدده دوره داخل النظام.</w:t>
      </w:r>
    </w:p>
    <w:p>
      <w:pPr>
        <w:numPr>
          <w:ilvl w:val="0"/>
          <w:numId w:val="1135"/>
        </w:numPr>
        <w:pStyle w:val="Compact"/>
      </w:pPr>
      <w:r>
        <w:t xml:space="preserve">جدولة أسبوعية أو شهرية لكل تقرير على حدة</w:t>
      </w:r>
    </w:p>
    <w:p>
      <w:pPr>
        <w:numPr>
          <w:ilvl w:val="0"/>
          <w:numId w:val="1135"/>
        </w:numPr>
        <w:pStyle w:val="Compact"/>
      </w:pPr>
      <w:r>
        <w:t xml:space="preserve">قوائم توزيع محددة لكل تقرير ولكل مستوى إداري</w:t>
      </w:r>
    </w:p>
    <w:p>
      <w:pPr>
        <w:numPr>
          <w:ilvl w:val="0"/>
          <w:numId w:val="1135"/>
        </w:numPr>
        <w:pStyle w:val="Compact"/>
      </w:pPr>
      <w:r>
        <w:t xml:space="preserve">صلاحيات وصول تحدد من يرى تقارير أي مشروع</w:t>
      </w:r>
    </w:p>
    <w:p>
      <w:pPr>
        <w:numPr>
          <w:ilvl w:val="0"/>
          <w:numId w:val="1135"/>
        </w:numPr>
        <w:pStyle w:val="Compact"/>
      </w:pPr>
      <w:r>
        <w:t xml:space="preserve">سجل بمن أصدر التقرير ومتى ولأي فترة</w:t>
      </w:r>
    </w:p>
    <w:p>
      <w:pPr>
        <w:pStyle w:val="Heading3"/>
      </w:pPr>
      <w:bookmarkStart w:id="314" w:name="الدعم-والتطوير-المستمر"/>
      <w:r>
        <w:t xml:space="preserve">الدعم والتطوير المستمر</w:t>
      </w:r>
      <w:bookmarkEnd w:id="314"/>
    </w:p>
    <w:p>
      <w:pPr>
        <w:pStyle w:val="FirstParagraph"/>
      </w:pPr>
      <w:r>
        <w:t xml:space="preserve">12 شهراً من الدعم المشمول</w:t>
      </w:r>
    </w:p>
    <w:p>
      <w:pPr>
        <w:pStyle w:val="BodyText"/>
      </w:pPr>
      <w:r>
        <w:t xml:space="preserve">تتطور احتياجات التقارير مع نمو المشاريع؛ لذلك تبقى شركة ديكسور للحلول المتكاملة الحاسوبية ذ.م.م. شريكاً في تحسين القوالب طوال فترة الدعم.</w:t>
      </w:r>
    </w:p>
    <w:p>
      <w:pPr>
        <w:numPr>
          <w:ilvl w:val="0"/>
          <w:numId w:val="1136"/>
        </w:numPr>
        <w:pStyle w:val="Compact"/>
      </w:pPr>
      <w:r>
        <w:t xml:space="preserve">تعديلات على القوالب القائمة خلال فترة الدعم</w:t>
      </w:r>
    </w:p>
    <w:p>
      <w:pPr>
        <w:numPr>
          <w:ilvl w:val="0"/>
          <w:numId w:val="1136"/>
        </w:numPr>
        <w:pStyle w:val="Compact"/>
      </w:pPr>
      <w:r>
        <w:t xml:space="preserve">تدريب فريق الحسابات على إصدار التقارير بنفسه</w:t>
      </w:r>
    </w:p>
    <w:p>
      <w:pPr>
        <w:numPr>
          <w:ilvl w:val="0"/>
          <w:numId w:val="1136"/>
        </w:numPr>
        <w:pStyle w:val="Compact"/>
      </w:pPr>
      <w:r>
        <w:t xml:space="preserve">تقارير إضافية جديدة حسب اتفاق لاحق</w:t>
      </w:r>
    </w:p>
    <w:p>
      <w:pPr>
        <w:numPr>
          <w:ilvl w:val="0"/>
          <w:numId w:val="1136"/>
        </w:numPr>
        <w:pStyle w:val="Compact"/>
      </w:pPr>
      <w:r>
        <w:t xml:space="preserve">حفظ القوالب مع النسخ الاحتياطية على Odoo.sh</w:t>
      </w:r>
    </w:p>
    <w:p>
      <w:pPr>
        <w:pStyle w:val="Heading3"/>
      </w:pPr>
      <w:bookmarkStart w:id="315" w:name="X2cca7ba25677cf265ccfba335b109c3e413b8df"/>
      <w:r>
        <w:t xml:space="preserve">من الحركة اليومية إلى قرار الإدارة — مسار البيانات</w:t>
      </w:r>
      <w:bookmarkEnd w:id="315"/>
    </w:p>
    <w:p>
      <w:pPr>
        <w:pStyle w:val="FirstParagraph"/>
      </w:pPr>
      <w:r>
        <w:t xml:space="preserve">يُقرأ المسار من اليمين إلى اليسار، ولا توجد خطوة إدخال يدوي في أي منه</w:t>
      </w:r>
    </w:p>
    <w:p>
      <w:pPr>
        <w:pStyle w:val="BodyText"/>
      </w:pPr>
      <w:r>
        <w:t xml:space="preserve">الحركة اليومية</w:t>
      </w:r>
    </w:p>
    <w:p>
      <w:pPr>
        <w:pStyle w:val="BodyText"/>
      </w:pPr>
      <w:r>
        <w:t xml:space="preserve">صرف مواد وفاتورة وشيك ومستخلص</w:t>
      </w:r>
    </w:p>
    <w:p>
      <w:pPr>
        <w:pStyle w:val="BodyText"/>
      </w:pPr>
      <w:r>
        <w:t xml:space="preserve">توزيع على المشروع</w:t>
      </w:r>
    </w:p>
    <w:p>
      <w:pPr>
        <w:pStyle w:val="BodyText"/>
      </w:pPr>
      <w:r>
        <w:t xml:space="preserve">Analytic Accounting لكل مشروع</w:t>
      </w:r>
    </w:p>
    <w:p>
      <w:pPr>
        <w:pStyle w:val="BodyText"/>
      </w:pPr>
      <w:r>
        <w:t xml:space="preserve">قوالب مخصَّصة</w:t>
      </w:r>
    </w:p>
    <w:p>
      <w:pPr>
        <w:pStyle w:val="BodyText"/>
      </w:pPr>
      <w:r>
        <w:t xml:space="preserve">قوالب QWeb بصيغة الشركة</w:t>
      </w:r>
    </w:p>
    <w:p>
      <w:pPr>
        <w:pStyle w:val="BodyText"/>
      </w:pPr>
      <w:r>
        <w:t xml:space="preserve">مستند نهائي</w:t>
      </w:r>
    </w:p>
    <w:p>
      <w:pPr>
        <w:pStyle w:val="BodyText"/>
      </w:pPr>
      <w:r>
        <w:t xml:space="preserve">عربي بصيغة PDF و Excel</w:t>
      </w:r>
    </w:p>
    <w:p>
      <w:pPr>
        <w:pStyle w:val="BodyText"/>
      </w:pPr>
      <w:r>
        <w:t xml:space="preserve">قرار الإدارة</w:t>
      </w:r>
    </w:p>
    <w:p>
      <w:pPr>
        <w:pStyle w:val="BodyText"/>
      </w:pPr>
      <w:r>
        <w:t xml:space="preserve">لوحات معلومات وحزمة شهرية</w:t>
      </w:r>
    </w:p>
    <w:p>
      <w:pPr>
        <w:pStyle w:val="BodyText"/>
      </w:pPr>
      <w:r>
        <w:t xml:space="preserve">رقم واحد مصدره واحد — من الموقع حتى اجتماع الإدارة</w:t>
      </w:r>
    </w:p>
    <w:p>
      <w:pPr>
        <w:pStyle w:val="BodyText"/>
      </w:pPr>
      <w:r>
        <w:t xml:space="preserve">DEXOR — Systems with Souls</w:t>
      </w:r>
    </w:p>
    <w:p>
      <w:pPr>
        <w:pStyle w:val="BodyText"/>
      </w:pPr>
      <w:r>
        <w:t xml:space="preserve">صُمِّم هذا العرض خصيصاً لشركة لؤلؤة الشايع للمقاولات العامة والإنشاءات في دولة الكويت. تُضبط المستندات والتقارير على نماذج الشركة المعتمدة خلال ورشة المتطلبات، لـ 15 مستخدماً على استضافة Odoo.sh .</w:t>
      </w:r>
    </w:p>
    <w:p>
      <w:pPr>
        <w:pStyle w:val="BodyText"/>
      </w:pPr>
      <w:r>
        <w:t xml:space="preserve">تخصيص التقارير — الصفحة</w:t>
      </w:r>
    </w:p>
    <w:p>
      <w:pPr>
        <w:pStyle w:val="Heading2"/>
      </w:pPr>
      <w:bookmarkStart w:id="316" w:name="خطة-الدفع-والشروط-التجارية"/>
      <w:r>
        <w:t xml:space="preserve">خطة الدفع والشروط التجارية</w:t>
      </w:r>
      <w:bookmarkEnd w:id="316"/>
    </w:p>
    <w:p>
      <w:pPr>
        <w:pStyle w:val="FirstParagraph"/>
      </w:pPr>
      <w:r>
        <w:t xml:space="preserve">خطة الدفع</w:t>
      </w:r>
    </w:p>
    <w:p>
      <w:pPr>
        <w:pStyle w:val="BodyText"/>
      </w:pPr>
      <w:r>
        <w:t xml:space="preserve">عرض سعر رقم QT-2026-0812-001 — بتاريخ 19 أغسطس 2026</w:t>
      </w:r>
    </w:p>
    <w:p>
      <w:pPr>
        <w:pStyle w:val="Heading3"/>
      </w:pPr>
      <w:bookmarkStart w:id="317" w:name="خطة-الدفع-والاستثمار"/>
      <w:r>
        <w:t xml:space="preserve">خطة الدفع والاستثمار</w:t>
      </w:r>
      <w:bookmarkEnd w:id="317"/>
    </w:p>
    <w:p>
      <w:pPr>
        <w:pStyle w:val="FirstParagraph"/>
      </w:pPr>
      <w:r>
        <w:t xml:space="preserve">خطة دفع مرتبطة بالإنجاز: أربع دفعات، كل دفعة مستحقة عند تسليم مرحلة محددة ومعتمدة من شركة لؤلؤة الشايع. لا تُستحق أي دفعة قبل استلام ما يقابلها من أعمال ومخرجات موثّقة.</w:t>
      </w:r>
    </w:p>
    <w:p>
      <w:pPr>
        <w:pStyle w:val="BodyText"/>
      </w:pPr>
      <w:r>
        <w:t xml:space="preserve">إجمالي الاستثمار</w:t>
      </w:r>
    </w:p>
    <w:p>
      <w:pPr>
        <w:pStyle w:val="BodyText"/>
      </w:pPr>
      <w:r>
        <w:t xml:space="preserve">1,850 KWD</w:t>
      </w:r>
    </w:p>
    <w:p>
      <w:pPr>
        <w:pStyle w:val="BodyText"/>
      </w:pPr>
      <w:r>
        <w:t xml:space="preserve">شامل الوحدات الثماني و15 مستخدماً مسمّى — تنفيذ خلال 8–10 أسابيع ودعم فني 12 شهراً بعد الإطلاق</w:t>
      </w:r>
    </w:p>
    <w:p>
      <w:pPr>
        <w:pStyle w:val="BodyText"/>
      </w:pPr>
      <w:r>
        <w:t xml:space="preserve">السعر قبل الخصم</w:t>
      </w:r>
    </w:p>
    <w:p>
      <w:pPr>
        <w:pStyle w:val="BodyText"/>
      </w:pPr>
      <w:r>
        <w:t xml:space="preserve">2,200 KWD</w:t>
      </w:r>
    </w:p>
    <w:p>
      <w:pPr>
        <w:pStyle w:val="BodyText"/>
      </w:pPr>
      <w:r>
        <w:t xml:space="preserve">خصم بنسبة 16%</w:t>
      </w:r>
    </w:p>
    <w:p>
      <w:pPr>
        <w:pStyle w:val="BodyText"/>
      </w:pPr>
      <w:r>
        <w:t xml:space="preserve">دفعات مرتبطة بالإنجاز</w:t>
      </w:r>
    </w:p>
    <w:p>
      <w:pPr>
        <w:pStyle w:val="BodyText"/>
      </w:pPr>
      <w:r>
        <w:t xml:space="preserve">مستخدماً مسمّى</w:t>
      </w:r>
    </w:p>
    <w:p>
      <w:pPr>
        <w:pStyle w:val="BodyText"/>
      </w:pPr>
      <w:r>
        <w:t xml:space="preserve">8–10</w:t>
      </w:r>
    </w:p>
    <w:p>
      <w:pPr>
        <w:pStyle w:val="BodyText"/>
      </w:pPr>
      <w:r>
        <w:t xml:space="preserve">أسابيع للتنفيذ</w:t>
      </w:r>
    </w:p>
    <w:p>
      <w:pPr>
        <w:pStyle w:val="BodyText"/>
      </w:pPr>
      <w:r>
        <w:t xml:space="preserve">شهراً دعم مشمول</w:t>
      </w:r>
    </w:p>
    <w:p>
      <w:pPr>
        <w:pStyle w:val="BodyText"/>
      </w:pPr>
      <w:r>
        <w:t xml:space="preserve">مسار الدفعات الأربع — من التوقيع إلى الاستقرار</w:t>
      </w:r>
    </w:p>
    <w:p>
      <w:pPr>
        <w:pStyle w:val="BodyText"/>
      </w:pPr>
      <w:r>
        <w:t xml:space="preserve">توقيع العقد</w:t>
      </w:r>
    </w:p>
    <w:p>
      <w:pPr>
        <w:pStyle w:val="BodyText"/>
      </w:pPr>
      <w:r>
        <w:t xml:space="preserve">30%</w:t>
      </w:r>
    </w:p>
    <w:p>
      <w:pPr>
        <w:pStyle w:val="BodyText"/>
      </w:pPr>
      <w:r>
        <w:t xml:space="preserve">555 KWD</w:t>
      </w:r>
    </w:p>
    <w:p>
      <w:pPr>
        <w:pStyle w:val="BodyText"/>
      </w:pPr>
      <w:r>
        <w:t xml:space="preserve">الإعداد والتطوير</w:t>
      </w:r>
    </w:p>
    <w:p>
      <w:pPr>
        <w:pStyle w:val="BodyText"/>
      </w:pPr>
      <w:r>
        <w:t xml:space="preserve">25%</w:t>
      </w:r>
    </w:p>
    <w:p>
      <w:pPr>
        <w:pStyle w:val="BodyText"/>
      </w:pPr>
      <w:r>
        <w:t xml:space="preserve">462.5 KWD</w:t>
      </w:r>
    </w:p>
    <w:p>
      <w:pPr>
        <w:pStyle w:val="BodyText"/>
      </w:pPr>
      <w:r>
        <w:t xml:space="preserve">الترحيل والاختبار والتدريب</w:t>
      </w:r>
    </w:p>
    <w:p>
      <w:pPr>
        <w:pStyle w:val="BodyText"/>
      </w:pPr>
      <w:r>
        <w:t xml:space="preserve">25%</w:t>
      </w:r>
    </w:p>
    <w:p>
      <w:pPr>
        <w:pStyle w:val="BodyText"/>
      </w:pPr>
      <w:r>
        <w:t xml:space="preserve">462.5 KWD</w:t>
      </w:r>
    </w:p>
    <w:p>
      <w:pPr>
        <w:pStyle w:val="BodyText"/>
      </w:pPr>
      <w:r>
        <w:t xml:space="preserve">بعد 30 يوماً من الإطلاق الفعلي</w:t>
      </w:r>
    </w:p>
    <w:p>
      <w:pPr>
        <w:pStyle w:val="BodyText"/>
      </w:pPr>
      <w:r>
        <w:t xml:space="preserve">20%</w:t>
      </w:r>
    </w:p>
    <w:p>
      <w:pPr>
        <w:pStyle w:val="BodyText"/>
      </w:pPr>
      <w:r>
        <w:t xml:space="preserve">370 KWD</w:t>
      </w:r>
    </w:p>
    <w:p>
      <w:pPr>
        <w:pStyle w:val="BodyText"/>
      </w:pPr>
      <w:r>
        <w:t xml:space="preserve">الجدول الزمني للتنفيذ</w:t>
      </w:r>
    </w:p>
    <w:p>
      <w:pPr>
        <w:pStyle w:val="BodyText"/>
      </w:pPr>
      <w:r>
        <w:t xml:space="preserve">8–10 أسابيع — من توقيع العقد إلى الإطلاق الفعلي والاستقرار</w:t>
      </w:r>
    </w:p>
    <w:p>
      <w:pPr>
        <w:pStyle w:val="BodyText"/>
      </w:pPr>
      <w:r>
        <w:t xml:space="preserve">التحليل والتصميم</w:t>
      </w:r>
    </w:p>
    <w:p>
      <w:pPr>
        <w:pStyle w:val="BodyText"/>
      </w:pPr>
      <w:r>
        <w:t xml:space="preserve">الأسبوع 1–2</w:t>
      </w:r>
    </w:p>
    <w:p>
      <w:pPr>
        <w:pStyle w:val="BodyText"/>
      </w:pPr>
      <w:r>
        <w:t xml:space="preserve">الإعداد والتطوير</w:t>
      </w:r>
    </w:p>
    <w:p>
      <w:pPr>
        <w:pStyle w:val="BodyText"/>
      </w:pPr>
      <w:r>
        <w:t xml:space="preserve">الأسبوع 3–5</w:t>
      </w:r>
    </w:p>
    <w:p>
      <w:pPr>
        <w:pStyle w:val="BodyText"/>
      </w:pPr>
      <w:r>
        <w:t xml:space="preserve">ترحيل البيانات</w:t>
      </w:r>
    </w:p>
    <w:p>
      <w:pPr>
        <w:pStyle w:val="BodyText"/>
      </w:pPr>
      <w:r>
        <w:t xml:space="preserve">الأسبوع 5–6</w:t>
      </w:r>
    </w:p>
    <w:p>
      <w:pPr>
        <w:pStyle w:val="BodyText"/>
      </w:pPr>
      <w:r>
        <w:t xml:space="preserve">اختبار القبول والتدريب</w:t>
      </w:r>
    </w:p>
    <w:p>
      <w:pPr>
        <w:pStyle w:val="BodyText"/>
      </w:pPr>
      <w:r>
        <w:t xml:space="preserve">الأسبوع 7–8</w:t>
      </w:r>
    </w:p>
    <w:p>
      <w:pPr>
        <w:pStyle w:val="BodyText"/>
      </w:pPr>
      <w:r>
        <w:t xml:space="preserve">الإطلاق الفعلي</w:t>
      </w:r>
    </w:p>
    <w:p>
      <w:pPr>
        <w:pStyle w:val="BodyText"/>
      </w:pPr>
      <w:r>
        <w:t xml:space="preserve">الأسبوع 9</w:t>
      </w:r>
    </w:p>
    <w:p>
      <w:pPr>
        <w:pStyle w:val="BodyText"/>
      </w:pPr>
      <w:r>
        <w:t xml:space="preserve">الدعم والاستقرار</w:t>
      </w:r>
    </w:p>
    <w:p>
      <w:pPr>
        <w:pStyle w:val="BodyText"/>
      </w:pPr>
      <w:r>
        <w:t xml:space="preserve">الأسبوع 10 وما بعده</w:t>
      </w:r>
    </w:p>
    <w:p>
      <w:pPr>
        <w:pStyle w:val="BodyText"/>
      </w:pPr>
      <w:r>
        <w:t xml:space="preserve">الدفعة الأولى — دفعة مقدمة</w:t>
      </w:r>
    </w:p>
    <w:p>
      <w:pPr>
        <w:pStyle w:val="BodyText"/>
      </w:pPr>
      <w:r>
        <w:t xml:space="preserve">عند توقيع العقد</w:t>
      </w:r>
    </w:p>
    <w:p>
      <w:pPr>
        <w:pStyle w:val="BodyText"/>
      </w:pPr>
      <w:r>
        <w:t xml:space="preserve">555 KWD — 30%</w:t>
      </w:r>
    </w:p>
    <w:p>
      <w:pPr>
        <w:pStyle w:val="BodyText"/>
      </w:pPr>
      <w:r>
        <w:t xml:space="preserve">تُستحق فور توقيع العقد وتفتح المشروع رسمياً: تشكيل فريق التنفيذ، جلسات تحليل المتطلبات مع إدارتَي المشاريع والحسابات، وتجهيز بيئة العمل السحابية.</w:t>
      </w:r>
    </w:p>
    <w:p>
      <w:pPr>
        <w:pStyle w:val="BodyText"/>
      </w:pPr>
      <w:r>
        <w:t xml:space="preserve">الدفعة الثانية — البناء</w:t>
      </w:r>
    </w:p>
    <w:p>
      <w:pPr>
        <w:pStyle w:val="BodyText"/>
      </w:pPr>
      <w:r>
        <w:t xml:space="preserve">عند اكتمال الإعداد والتطوير</w:t>
      </w:r>
    </w:p>
    <w:p>
      <w:pPr>
        <w:pStyle w:val="BodyText"/>
      </w:pPr>
      <w:r>
        <w:t xml:space="preserve">462.5 KWD — 25%</w:t>
      </w:r>
    </w:p>
    <w:p>
      <w:pPr>
        <w:pStyle w:val="BodyText"/>
      </w:pPr>
      <w:r>
        <w:t xml:space="preserve">تُستحق بعد إعداد الوحدات الثماني وتخصيصها: مركز تكلفة لكل مشروع، دفتر شيكات لكل مشروع، الحسابات البنكية الأربعة، وعرض النظام على بيئة الاختبار.</w:t>
      </w:r>
    </w:p>
    <w:p>
      <w:pPr>
        <w:pStyle w:val="BodyText"/>
      </w:pPr>
      <w:r>
        <w:t xml:space="preserve">الدفعة الثالثة — الترحيل والاعتماد</w:t>
      </w:r>
    </w:p>
    <w:p>
      <w:pPr>
        <w:pStyle w:val="BodyText"/>
      </w:pPr>
      <w:r>
        <w:t xml:space="preserve">عند اكتمال الترحيل والاختبار والتدريب</w:t>
      </w:r>
    </w:p>
    <w:p>
      <w:pPr>
        <w:pStyle w:val="BodyText"/>
      </w:pPr>
      <w:r>
        <w:t xml:space="preserve">462.5 KWD — 25%</w:t>
      </w:r>
    </w:p>
    <w:p>
      <w:pPr>
        <w:pStyle w:val="BodyText"/>
      </w:pPr>
      <w:r>
        <w:t xml:space="preserve">تُستحق بعد ترحيل الأرصدة والبيانات التاريخية، واعتماد محضر اختبار قبول المستخدم، وإتمام تدريب فرق المشاريع والحسابات والإدارة.</w:t>
      </w:r>
    </w:p>
    <w:p>
      <w:pPr>
        <w:pStyle w:val="BodyText"/>
      </w:pPr>
      <w:r>
        <w:t xml:space="preserve">الدفعة الرابعة — الاستقرار</w:t>
      </w:r>
    </w:p>
    <w:p>
      <w:pPr>
        <w:pStyle w:val="BodyText"/>
      </w:pPr>
      <w:r>
        <w:t xml:space="preserve">بعد ثلاثين (30) يوماً من الإطلاق الفعلي</w:t>
      </w:r>
    </w:p>
    <w:p>
      <w:pPr>
        <w:pStyle w:val="BodyText"/>
      </w:pPr>
      <w:r>
        <w:t xml:space="preserve">370 KWD — 20%</w:t>
      </w:r>
    </w:p>
    <w:p>
      <w:pPr>
        <w:pStyle w:val="BodyText"/>
      </w:pPr>
      <w:r>
        <w:t xml:space="preserve">تُستحق بعد مرور ثلاثين يوماً على الإطلاق الفعلي، عقب فترة المتابعة اللصيقة والضبط النهائي واعتماد استقرار النظام في التشغيل الحقيقي.</w:t>
      </w:r>
    </w:p>
    <w:p>
      <w:pPr>
        <w:pStyle w:val="BodyText"/>
      </w:pPr>
      <w:r>
        <w:t xml:space="preserve">شركة ديكسور للحلول المتكاملة الحاسوبية ذ.م.م. — شريك أودو المعتمد — خطة الدفع لعرض السعر QT-2026-0812-001</w:t>
      </w:r>
    </w:p>
    <w:p>
      <w:pPr>
        <w:pStyle w:val="BodyText"/>
      </w:pPr>
      <w:r>
        <w:t xml:space="preserve">الصفحة 1 من 2</w:t>
      </w:r>
    </w:p>
    <w:p>
      <w:pPr>
        <w:pStyle w:val="BodyText"/>
      </w:pPr>
      <w:r>
        <w:t xml:space="preserve">خطة الدفع</w:t>
      </w:r>
    </w:p>
    <w:p>
      <w:pPr>
        <w:pStyle w:val="BodyText"/>
      </w:pPr>
      <w:r>
        <w:t xml:space="preserve">تفصيل الدفعات وشروط الاستحقاق</w:t>
      </w:r>
    </w:p>
    <w:p>
      <w:pPr>
        <w:pStyle w:val="Heading3"/>
      </w:pPr>
      <w:bookmarkStart w:id="318" w:name="جدول-الدفعات-والشروط-التجارية"/>
      <w:r>
        <w:t xml:space="preserve">جدول الدفعات والشروط التجارية</w:t>
      </w:r>
      <w:bookmarkEnd w:id="318"/>
    </w:p>
    <w:p>
      <w:pPr>
        <w:pStyle w:val="FirstParagraph"/>
      </w:pPr>
      <w:r>
        <w:t xml:space="preserve">ما يشمله السعر</w:t>
      </w:r>
    </w:p>
    <w:p>
      <w:pPr>
        <w:pStyle w:val="BodyText"/>
      </w:pPr>
      <w:r>
        <w:t xml:space="preserve">15 مستخدماً مسمّى ضمن السعر المعروض</w:t>
      </w:r>
    </w:p>
    <w:p>
      <w:pPr>
        <w:pStyle w:val="BodyText"/>
      </w:pPr>
      <w:r>
        <w:t xml:space="preserve">إعداد وتخصيص الوحدات الثماني كاملة</w:t>
      </w:r>
    </w:p>
    <w:p>
      <w:pPr>
        <w:pStyle w:val="BodyText"/>
      </w:pPr>
      <w:r>
        <w:t xml:space="preserve">ترحيل البيانات والأرصدة التاريخية</w:t>
      </w:r>
    </w:p>
    <w:p>
      <w:pPr>
        <w:pStyle w:val="BodyText"/>
      </w:pPr>
      <w:r>
        <w:t xml:space="preserve">تدريب عملي للفرق واختبار قبول المستخدم</w:t>
      </w:r>
    </w:p>
    <w:p>
      <w:pPr>
        <w:pStyle w:val="BodyText"/>
      </w:pPr>
      <w:r>
        <w:t xml:space="preserve">دعم فني مشمول لمدة 12 شهراً بعد الإطلاق</w:t>
      </w:r>
    </w:p>
    <w:p>
      <w:pPr>
        <w:pStyle w:val="BodyText"/>
      </w:pPr>
      <w:r>
        <w:t xml:space="preserve">تنفيذ كامل خلال 8–10 أسابيع</w:t>
      </w:r>
    </w:p>
    <w:p>
      <w:pPr>
        <w:pStyle w:val="BodyText"/>
      </w:pPr>
      <w:r>
        <w:t xml:space="preserve">استضافة سحابية — يوصى بـ Odoo.sh</w:t>
      </w:r>
    </w:p>
    <w:p>
      <w:pPr>
        <w:pStyle w:val="BodyText"/>
      </w:pPr>
      <w:r>
        <w:t xml:space="preserve">تقارير إدارية مجمّعة ولكل مشروع على حدة</w:t>
      </w:r>
    </w:p>
    <w:p>
      <w:pPr>
        <w:pStyle w:val="BodyText"/>
      </w:pPr>
      <w:r>
        <w:t xml:space="preserve">الوحدات الثماني المشمولة:</w:t>
      </w:r>
    </w:p>
    <w:p>
      <w:pPr>
        <w:pStyle w:val="BodyText"/>
      </w:pPr>
      <w:r>
        <w:t xml:space="preserve">إدارة علاقات العملاء والتسويق ( CRM &amp; Marketing ) · المبيعات ( Sales ) · المشتريات والتوريد ( Purchase &amp; Procurement ) · المخازن والمستودعات ( Inventory &amp; Warehousing ) · المحاسبة والشؤون المالية ( Accounting &amp; Finance ) · التحليلات ولوحات المعلومات ( Analytics &amp; Dashboards ) · ترحيل البيانات ( Data Migration ) · تخصيص التقارير ( Report Customisation )</w:t>
      </w:r>
    </w:p>
    <w:p>
      <w:pPr>
        <w:pStyle w:val="BodyText"/>
      </w:pPr>
      <w:r>
        <w:t xml:space="preserve">ملاحظات وشروط تجارية</w:t>
      </w:r>
    </w:p>
    <w:p>
      <w:pPr>
        <w:pStyle w:val="BodyText"/>
      </w:pPr>
      <w:r>
        <w:t xml:space="preserve">العميل لا يدفع إلا مقابل ما يستلمه فعلياً — كل دفعة مرتبطة بمرحلة مُسلَّمة ومعتمدة.</w:t>
      </w:r>
    </w:p>
    <w:p>
      <w:pPr>
        <w:pStyle w:val="BodyText"/>
      </w:pPr>
      <w:r>
        <w:t xml:space="preserve">أي متطلب نتفق معاً على أنه جوهري لقطاع المقاولات والإنشاءات يُضاف ويُطوَّر ويُنفَّذ عند الطلب.</w:t>
      </w:r>
    </w:p>
    <w:p>
      <w:pPr>
        <w:pStyle w:val="BodyText"/>
      </w:pPr>
      <w:r>
        <w:t xml:space="preserve">السعر يشمل 15 مستخدماً مسمّى؛ المستخدم الإضافي بـ 45 KWD تُدفع مرة واحدة.</w:t>
      </w:r>
    </w:p>
    <w:p>
      <w:pPr>
        <w:pStyle w:val="BodyText"/>
      </w:pPr>
      <w:r>
        <w:t xml:space="preserve">الدعم الفني مشمول لمدة 12 شهراً بعد الإطلاق؛ يليها عقد صيانة سنوي اختياري بنسبة 20% من قيمة المشروع.</w:t>
      </w:r>
    </w:p>
    <w:p>
      <w:pPr>
        <w:pStyle w:val="BodyText"/>
      </w:pPr>
      <w:r>
        <w:t xml:space="preserve">أي تطوير خارج نطاق هذا العرض يُسعَّر بـ 25 KWD للساعة بعد اعتماد خطي من العميل.</w:t>
      </w:r>
    </w:p>
    <w:p>
      <w:pPr>
        <w:pStyle w:val="BodyText"/>
      </w:pPr>
      <w:r>
        <w:t xml:space="preserve">تُستحق الفواتير خلال 15 يوماً من تاريخ إصدارها.</w:t>
      </w:r>
    </w:p>
    <w:p>
      <w:pPr>
        <w:pStyle w:val="BodyText"/>
      </w:pPr>
      <w:r>
        <w:t xml:space="preserve">الاستضافة سحابية — يوصى بـ Odoo.sh ؛ رسوم الاستضافة والتراخيص تُدفع مباشرة لمزوّد الخدمة ولا تدخل ضمن هذا المبلغ.</w:t>
      </w:r>
    </w:p>
    <w:p>
      <w:pPr>
        <w:pStyle w:val="BodyText"/>
      </w:pPr>
      <w:r>
        <w:t xml:space="preserve">هذا العرض صالح حتى 27 أغسطس 2026.</w:t>
      </w:r>
    </w:p>
    <w:p>
      <w:pPr>
        <w:pStyle w:val="BodyText"/>
      </w:pPr>
      <w:r>
        <w:t xml:space="preserve">تفاصيل التحويل البنكي</w:t>
      </w:r>
    </w:p>
    <w:p>
      <w:pPr>
        <w:pStyle w:val="BodyText"/>
      </w:pPr>
      <w:r>
        <w:t xml:space="preserve">تُستكمل هذه البيانات عند إصدار العقد والفاتورة الأولى</w:t>
      </w:r>
    </w:p>
    <w:p>
      <w:pPr>
        <w:pStyle w:val="BodyText"/>
      </w:pPr>
      <w:r>
        <w:t xml:space="preserve">اسم البنك:</w:t>
      </w:r>
    </w:p>
    <w:p>
      <w:pPr>
        <w:pStyle w:val="BodyText"/>
      </w:pPr>
      <w:r>
        <w:t xml:space="preserve">اسم الحساب:</w:t>
      </w:r>
    </w:p>
    <w:p>
      <w:pPr>
        <w:pStyle w:val="BodyText"/>
      </w:pPr>
      <w:r>
        <w:t xml:space="preserve">رقم الحساب الدولي ( IBAN ):</w:t>
      </w:r>
    </w:p>
    <w:p>
      <w:pPr>
        <w:pStyle w:val="BodyText"/>
      </w:pPr>
      <w:r>
        <w:t xml:space="preserve">العملة: KWD — الدينار الكويتي</w:t>
      </w:r>
    </w:p>
    <w:p>
      <w:pPr>
        <w:pStyle w:val="BodyText"/>
      </w:pPr>
      <w:r>
        <w:t xml:space="preserve">شركة ديكسور للحلول المتكاملة الحاسوبية ذ.م.م. — شريك أودو المعتمد — خطة الدفع لعرض السعر QT-2026-0812-001</w:t>
      </w:r>
    </w:p>
    <w:p>
      <w:pPr>
        <w:pStyle w:val="BodyText"/>
      </w:pPr>
      <w:r>
        <w:t xml:space="preserve">الصفحة 2 من 2</w:t>
      </w:r>
    </w:p>
    <w:tbl>
      <w:tblPr>
        <w:tblStyle w:val="Table"/>
        <w:tblW w:type="pct" w:w="0.0"/>
        <w:tblLook w:firstRow="1"/>
      </w:tblPr>
      <w:tblGrid/>
      <w:tr>
        <w:trPr>
          <w:cnfStyle w:firstRow="1"/>
        </w:trPr>
        <w:tc>
          <w:tcPr>
            <w:tcBorders>
              <w:bottom w:val="single"/>
            </w:tcBorders>
            <w:vAlign w:val="bottom"/>
          </w:tcPr>
          <w:p>
            <w:pPr>
              <w:pStyle w:val="Compact"/>
              <w:jc w:val="left"/>
            </w:pPr>
            <w:r>
              <w:t xml:space="preserve">المرحلة</w:t>
            </w:r>
          </w:p>
        </w:tc>
        <w:tc>
          <w:tcPr>
            <w:tcBorders>
              <w:bottom w:val="single"/>
            </w:tcBorders>
            <w:vAlign w:val="bottom"/>
          </w:tcPr>
          <w:p>
            <w:pPr>
              <w:pStyle w:val="Compact"/>
              <w:jc w:val="left"/>
            </w:pPr>
            <w:r>
              <w:t xml:space="preserve">الوصف</w:t>
            </w:r>
          </w:p>
        </w:tc>
        <w:tc>
          <w:tcPr>
            <w:tcBorders>
              <w:bottom w:val="single"/>
            </w:tcBorders>
            <w:vAlign w:val="bottom"/>
          </w:tcPr>
          <w:p>
            <w:pPr>
              <w:pStyle w:val="Compact"/>
              <w:jc w:val="left"/>
            </w:pPr>
            <w:r>
              <w:t xml:space="preserve">النسبة</w:t>
            </w:r>
          </w:p>
        </w:tc>
        <w:tc>
          <w:tcPr>
            <w:tcBorders>
              <w:bottom w:val="single"/>
            </w:tcBorders>
            <w:vAlign w:val="bottom"/>
          </w:tcPr>
          <w:p>
            <w:pPr>
              <w:pStyle w:val="Compact"/>
              <w:jc w:val="left"/>
            </w:pPr>
            <w:r>
              <w:t xml:space="preserve">المبلغ ( KWD )</w:t>
            </w:r>
          </w:p>
        </w:tc>
        <w:tc>
          <w:tcPr>
            <w:tcBorders>
              <w:bottom w:val="single"/>
            </w:tcBorders>
            <w:vAlign w:val="bottom"/>
          </w:tcPr>
          <w:p>
            <w:pPr>
              <w:pStyle w:val="Compact"/>
              <w:jc w:val="left"/>
            </w:pPr>
            <w:r>
              <w:t xml:space="preserve">شرط الاستحقاق</w:t>
            </w:r>
          </w:p>
        </w:tc>
      </w:tr>
      <w:tr>
        <w:tc>
          <w:p>
            <w:pPr>
              <w:pStyle w:val="Compact"/>
              <w:jc w:val="left"/>
            </w:pPr>
            <w:r>
              <w:t xml:space="preserve">الدفعة الأولى</w:t>
            </w:r>
          </w:p>
        </w:tc>
        <w:tc>
          <w:p>
            <w:pPr>
              <w:pStyle w:val="Compact"/>
              <w:jc w:val="left"/>
            </w:pPr>
            <w:r>
              <w:t xml:space="preserve">دفعة مقدمة عند توقيع العقد وبدء المشروع</w:t>
            </w:r>
          </w:p>
        </w:tc>
        <w:tc>
          <w:p>
            <w:pPr>
              <w:pStyle w:val="Compact"/>
              <w:jc w:val="left"/>
            </w:pPr>
            <w:r>
              <w:t xml:space="preserve">30%</w:t>
            </w:r>
          </w:p>
        </w:tc>
        <w:tc>
          <w:p>
            <w:pPr>
              <w:pStyle w:val="Compact"/>
              <w:jc w:val="left"/>
            </w:pPr>
            <w:r>
              <w:t xml:space="preserve">555</w:t>
            </w:r>
          </w:p>
        </w:tc>
        <w:tc>
          <w:p>
            <w:pPr>
              <w:pStyle w:val="Compact"/>
              <w:jc w:val="left"/>
            </w:pPr>
            <w:r>
              <w:t xml:space="preserve">توقيع العقد وإصدار أمر بدء العمل</w:t>
            </w:r>
          </w:p>
        </w:tc>
      </w:tr>
      <w:tr>
        <w:tc>
          <w:p>
            <w:pPr>
              <w:pStyle w:val="Compact"/>
              <w:jc w:val="left"/>
            </w:pPr>
            <w:r>
              <w:t xml:space="preserve">الدفعة الثانية</w:t>
            </w:r>
          </w:p>
        </w:tc>
        <w:tc>
          <w:p>
            <w:pPr>
              <w:pStyle w:val="Compact"/>
              <w:jc w:val="left"/>
            </w:pPr>
            <w:r>
              <w:t xml:space="preserve">اكتمال إعداد الوحدات الثماني وتطوير التخصيصات</w:t>
            </w:r>
          </w:p>
        </w:tc>
        <w:tc>
          <w:p>
            <w:pPr>
              <w:pStyle w:val="Compact"/>
              <w:jc w:val="left"/>
            </w:pPr>
            <w:r>
              <w:t xml:space="preserve">25%</w:t>
            </w:r>
          </w:p>
        </w:tc>
        <w:tc>
          <w:p>
            <w:pPr>
              <w:pStyle w:val="Compact"/>
              <w:jc w:val="left"/>
            </w:pPr>
            <w:r>
              <w:t xml:space="preserve">462.5</w:t>
            </w:r>
          </w:p>
        </w:tc>
        <w:tc>
          <w:p>
            <w:pPr>
              <w:pStyle w:val="Compact"/>
              <w:jc w:val="left"/>
            </w:pPr>
            <w:r>
              <w:t xml:space="preserve">اعتماد العميل لعرض النظام على بيئة الاختبار</w:t>
            </w:r>
          </w:p>
        </w:tc>
      </w:tr>
      <w:tr>
        <w:tc>
          <w:p>
            <w:pPr>
              <w:pStyle w:val="Compact"/>
              <w:jc w:val="left"/>
            </w:pPr>
            <w:r>
              <w:t xml:space="preserve">الدفعة الثالثة</w:t>
            </w:r>
          </w:p>
        </w:tc>
        <w:tc>
          <w:p>
            <w:pPr>
              <w:pStyle w:val="Compact"/>
              <w:jc w:val="left"/>
            </w:pPr>
            <w:r>
              <w:t xml:space="preserve">ترحيل البيانات واختبار قبول المستخدم وتدريب الفرق</w:t>
            </w:r>
          </w:p>
        </w:tc>
        <w:tc>
          <w:p>
            <w:pPr>
              <w:pStyle w:val="Compact"/>
              <w:jc w:val="left"/>
            </w:pPr>
            <w:r>
              <w:t xml:space="preserve">25%</w:t>
            </w:r>
          </w:p>
        </w:tc>
        <w:tc>
          <w:p>
            <w:pPr>
              <w:pStyle w:val="Compact"/>
              <w:jc w:val="left"/>
            </w:pPr>
            <w:r>
              <w:t xml:space="preserve">462.5</w:t>
            </w:r>
          </w:p>
        </w:tc>
        <w:tc>
          <w:p>
            <w:pPr>
              <w:pStyle w:val="Compact"/>
              <w:jc w:val="left"/>
            </w:pPr>
            <w:r>
              <w:t xml:space="preserve">محضر اعتماد اختبار القبول وإتمام التدريب</w:t>
            </w:r>
          </w:p>
        </w:tc>
      </w:tr>
      <w:tr>
        <w:tc>
          <w:p>
            <w:pPr>
              <w:pStyle w:val="Compact"/>
              <w:jc w:val="left"/>
            </w:pPr>
            <w:r>
              <w:t xml:space="preserve">الدفعة الرابعة</w:t>
            </w:r>
          </w:p>
        </w:tc>
        <w:tc>
          <w:p>
            <w:pPr>
              <w:pStyle w:val="Compact"/>
              <w:jc w:val="left"/>
            </w:pPr>
            <w:r>
              <w:t xml:space="preserve">استقرار التشغيل بعد الإطلاق الفعلي</w:t>
            </w:r>
          </w:p>
        </w:tc>
        <w:tc>
          <w:p>
            <w:pPr>
              <w:pStyle w:val="Compact"/>
              <w:jc w:val="left"/>
            </w:pPr>
            <w:r>
              <w:t xml:space="preserve">20%</w:t>
            </w:r>
          </w:p>
        </w:tc>
        <w:tc>
          <w:p>
            <w:pPr>
              <w:pStyle w:val="Compact"/>
              <w:jc w:val="left"/>
            </w:pPr>
            <w:r>
              <w:t xml:space="preserve">370</w:t>
            </w:r>
          </w:p>
        </w:tc>
        <w:tc>
          <w:p>
            <w:pPr>
              <w:pStyle w:val="Compact"/>
              <w:jc w:val="left"/>
            </w:pPr>
            <w:r>
              <w:t xml:space="preserve">مرور ثلاثين (30) يوماً على الإطلاق الفعلي</w:t>
            </w:r>
          </w:p>
        </w:tc>
      </w:tr>
      <w:tr>
        <w:tc>
          <w:p>
            <w:pPr>
              <w:pStyle w:val="Compact"/>
              <w:jc w:val="left"/>
            </w:pPr>
            <w:r>
              <w:t xml:space="preserve">الإجمالي</w:t>
            </w:r>
          </w:p>
        </w:tc>
        <w:tc>
          <w:p>
            <w:pPr>
              <w:pStyle w:val="Compact"/>
              <w:jc w:val="left"/>
            </w:pPr>
            <w:r>
              <w:t xml:space="preserve">صافي الاستثمار بعد الخصم</w:t>
            </w:r>
          </w:p>
        </w:tc>
        <w:tc>
          <w:p>
            <w:pPr>
              <w:pStyle w:val="Compact"/>
              <w:jc w:val="left"/>
            </w:pPr>
            <w:r>
              <w:t xml:space="preserve">100%</w:t>
            </w:r>
          </w:p>
        </w:tc>
        <w:tc>
          <w:p>
            <w:pPr>
              <w:pStyle w:val="Compact"/>
              <w:jc w:val="left"/>
            </w:pPr>
            <w:r>
              <w:t xml:space="preserve">1,850</w:t>
            </w:r>
          </w:p>
        </w:tc>
        <w:tc>
          <w:p>
            <w:pPr>
              <w:pStyle w:val="Compact"/>
              <w:jc w:val="left"/>
            </w:pPr>
            <w:r>
              <w:t xml:space="preserve">تُستحق الفواتير خلال 15 يوماً من تاريخ إصدارها</w:t>
            </w:r>
          </w:p>
        </w:tc>
      </w:tr>
    </w:tbl>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a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عرض سعر ديكسور — شركة لؤلؤة الشايع — QT-2026-0812-001</dc:title>
  <dc:creator/>
  <dc:language>ar</dc:language>
  <cp:keywords/>
  <dcterms:created xsi:type="dcterms:W3CDTF">2026-08-19T15:15:46Z</dcterms:created>
  <dcterms:modified xsi:type="dcterms:W3CDTF">2026-08-19T15:15:46Z</dcterms:modified>
</cp:coreProperties>
</file>

<file path=docProps/custom.xml><?xml version="1.0" encoding="utf-8"?>
<Properties xmlns="http://schemas.openxmlformats.org/officeDocument/2006/custom-properties" xmlns:vt="http://schemas.openxmlformats.org/officeDocument/2006/docPropsVTypes"/>
</file>