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w:t>
      </w:r>
      <w:r>
        <w:t xml:space="preserve"> </w:t>
      </w:r>
      <w:r>
        <w:t xml:space="preserve">ERP</w:t>
      </w:r>
      <w:r>
        <w:t xml:space="preserve"> </w:t>
      </w:r>
      <w:r>
        <w:t xml:space="preserve">Implementation</w:t>
      </w:r>
      <w:r>
        <w:t xml:space="preserve"> </w:t>
      </w:r>
      <w:r>
        <w:t xml:space="preserve">Agreement</w:t>
      </w:r>
      <w:r>
        <w:t xml:space="preserve"> </w:t>
      </w:r>
      <w:r>
        <w:t xml:space="preserve">(EN/AR)</w:t>
      </w:r>
      <w:r>
        <w:t xml:space="preserve"> </w:t>
      </w:r>
      <w:r>
        <w:t xml:space="preserve">·</w:t>
      </w:r>
      <w:r>
        <w:t xml:space="preserve"> </w:t>
      </w:r>
      <w:r>
        <w:t xml:space="preserve">DX-2026-013</w:t>
      </w:r>
    </w:p>
    <w:p>
      <w:pPr>
        <w:pStyle w:val="FirstParagraph"/>
      </w:pPr>
      <w:r>
        <w:rPr>
          <w:b/>
        </w:rPr>
        <w:t xml:space="preserve">Implementation Agreement</w:t>
      </w:r>
    </w:p>
    <w:p>
      <w:pPr>
        <w:pStyle w:val="Heading1"/>
      </w:pPr>
      <w:bookmarkStart w:id="20" w:name="erp-implementation-services-agreement"/>
      <w:r>
        <w:t xml:space="preserve">ERP Implementation &amp; Services Agreement</w:t>
      </w:r>
      <w:bookmarkEnd w:id="20"/>
    </w:p>
    <w:p>
      <w:pPr>
        <w:pStyle w:val="FirstParagraph"/>
      </w:pPr>
      <w:r>
        <w:t xml:space="preserve">Implementation, configuration, data migration, training, go-live and support of an integrated Odoo ERP system, delivered by Dexor Integrated Computer Solutions Co. W.L.L. — Commercial Register 551952, State of Kuwait.</w:t>
      </w:r>
    </w:p>
    <w:tbl>
      <w:tblPr>
        <w:tblStyle w:val="Table"/>
        <w:tblW w:type="pct" w:w="0.0"/>
        <w:tblLook w:firstRow="0"/>
      </w:tblPr>
      <w:tblGrid/>
      <w:tr>
        <w:tc>
          <w:p>
            <w:pPr>
              <w:pStyle w:val="Compact"/>
              <w:jc w:val="left"/>
            </w:pPr>
            <w:r>
              <w:rPr>
                <w:b/>
              </w:rPr>
              <w:t xml:space="preserve">Service Provider</w:t>
            </w:r>
          </w:p>
        </w:tc>
        <w:tc>
          <w:p>
            <w:pPr>
              <w:pStyle w:val="Compact"/>
              <w:jc w:val="left"/>
            </w:pPr>
            <w:r>
              <w:t xml:space="preserve">Dexor Integrated Computer Solutions Co. W.L.L.</w:t>
            </w:r>
          </w:p>
        </w:tc>
      </w:tr>
      <w:tr>
        <w:tc>
          <w:p>
            <w:pPr>
              <w:pStyle w:val="Compact"/>
              <w:jc w:val="left"/>
            </w:pPr>
            <w:r>
              <w:rPr>
                <w:b/>
              </w:rPr>
              <w:t xml:space="preserve">Client</w:t>
            </w:r>
          </w:p>
        </w:tc>
        <w:tc>
          <w:p>
            <w:pPr>
              <w:pStyle w:val="Compact"/>
              <w:jc w:val="left"/>
            </w:pPr>
            <w:r>
              <w:t xml:space="preserve">Benaa Base Company</w:t>
            </w:r>
          </w:p>
        </w:tc>
      </w:tr>
      <w:tr>
        <w:tc>
          <w:p>
            <w:pPr>
              <w:pStyle w:val="Compact"/>
              <w:jc w:val="left"/>
            </w:pPr>
            <w:r>
              <w:rPr>
                <w:b/>
              </w:rPr>
              <w:t xml:space="preserve">Contract Reference</w:t>
            </w:r>
          </w:p>
        </w:tc>
        <w:tc>
          <w:p>
            <w:pPr>
              <w:pStyle w:val="Compact"/>
              <w:jc w:val="left"/>
            </w:pPr>
            <w:r>
              <w:t xml:space="preserve">DX-2026-013</w:t>
            </w:r>
          </w:p>
        </w:tc>
      </w:tr>
      <w:tr>
        <w:tc>
          <w:p>
            <w:pPr>
              <w:pStyle w:val="Compact"/>
              <w:jc w:val="left"/>
            </w:pPr>
            <w:r>
              <w:rPr>
                <w:b/>
              </w:rPr>
              <w:t xml:space="preserve">Effective Date</w:t>
            </w:r>
          </w:p>
        </w:tc>
        <w:tc>
          <w:p>
            <w:pPr>
              <w:pStyle w:val="Compact"/>
              <w:jc w:val="left"/>
            </w:pPr>
            <w:r>
              <w:t xml:space="preserve">20 / 08 / 2026</w:t>
            </w:r>
          </w:p>
        </w:tc>
      </w:tr>
      <w:tr>
        <w:tc>
          <w:p>
            <w:pPr>
              <w:pStyle w:val="Compact"/>
              <w:jc w:val="left"/>
            </w:pPr>
            <w:r>
              <w:rPr>
                <w:b/>
              </w:rPr>
              <w:t xml:space="preserve">Date of Issue</w:t>
            </w:r>
          </w:p>
        </w:tc>
        <w:tc>
          <w:p>
            <w:pPr>
              <w:pStyle w:val="Compact"/>
              <w:jc w:val="left"/>
            </w:pPr>
            <w:r>
              <w:t xml:space="preserve">15 / 08 / 2026</w:t>
            </w:r>
          </w:p>
        </w:tc>
      </w:tr>
    </w:tbl>
    <w:p>
      <w:pPr>
        <w:pStyle w:val="BodyText"/>
      </w:pPr>
      <w:r>
        <w:rPr>
          <w:b/>
        </w:rPr>
        <w:t xml:space="preserve">اتفاقية التنفيذ</w:t>
      </w:r>
    </w:p>
    <w:p>
      <w:pPr>
        <w:pStyle w:val="Heading1"/>
      </w:pPr>
      <w:bookmarkStart w:id="21" w:name="X53aca0f6dfaa37c51d5240f6204f8835fded389"/>
      <w:r>
        <w:t xml:space="preserve">اتفاقية تنفيذ وخدمات نظام تخطيط موارد المؤسسات</w:t>
      </w:r>
      <w:bookmarkEnd w:id="21"/>
    </w:p>
    <w:p>
      <w:pPr>
        <w:pStyle w:val="FirstParagraph"/>
      </w:pPr>
      <w:r>
        <w:t xml:space="preserve">تنفيذ وتهيئة وترحيل بيانات وتدريب وتشغيل ودعم نظام Odoo ERP متكامل، مقدّم من شركة ديكسور للحلول المتكاملة الحاسوبية ذ.م.م — السجل التجاري 551952، دولة الكويت.</w:t>
      </w:r>
    </w:p>
    <w:tbl>
      <w:tblPr>
        <w:tblStyle w:val="Table"/>
        <w:tblW w:type="pct" w:w="0.0"/>
        <w:tblLook w:firstRow="0"/>
      </w:tblPr>
      <w:tblGrid/>
      <w:tr>
        <w:tc>
          <w:p>
            <w:pPr>
              <w:pStyle w:val="Compact"/>
              <w:jc w:val="left"/>
            </w:pPr>
            <w:r>
              <w:rPr>
                <w:b/>
              </w:rPr>
              <w:t xml:space="preserve">مزود الخدمة</w:t>
            </w:r>
          </w:p>
        </w:tc>
        <w:tc>
          <w:p>
            <w:pPr>
              <w:pStyle w:val="Compact"/>
              <w:jc w:val="left"/>
            </w:pPr>
            <w:r>
              <w:t xml:space="preserve">شركة ديكسور للحلول المتكاملة الحاسوبية ذ.م.م</w:t>
            </w:r>
          </w:p>
        </w:tc>
      </w:tr>
      <w:tr>
        <w:tc>
          <w:p>
            <w:pPr>
              <w:pStyle w:val="Compact"/>
              <w:jc w:val="left"/>
            </w:pPr>
            <w:r>
              <w:rPr>
                <w:b/>
              </w:rPr>
              <w:t xml:space="preserve">العميل</w:t>
            </w:r>
          </w:p>
        </w:tc>
        <w:tc>
          <w:p>
            <w:pPr>
              <w:pStyle w:val="Compact"/>
              <w:jc w:val="left"/>
            </w:pPr>
            <w:r>
              <w:t xml:space="preserve">شركة بناء بيز</w:t>
            </w:r>
          </w:p>
        </w:tc>
      </w:tr>
      <w:tr>
        <w:tc>
          <w:p>
            <w:pPr>
              <w:pStyle w:val="Compact"/>
              <w:jc w:val="left"/>
            </w:pPr>
            <w:r>
              <w:rPr>
                <w:b/>
              </w:rPr>
              <w:t xml:space="preserve">مرجع العقد</w:t>
            </w:r>
          </w:p>
        </w:tc>
        <w:tc>
          <w:p>
            <w:pPr>
              <w:pStyle w:val="Compact"/>
              <w:jc w:val="left"/>
            </w:pPr>
            <w:r>
              <w:t xml:space="preserve">DX-2026-013</w:t>
            </w:r>
          </w:p>
        </w:tc>
      </w:tr>
      <w:tr>
        <w:tc>
          <w:p>
            <w:pPr>
              <w:pStyle w:val="Compact"/>
              <w:jc w:val="left"/>
            </w:pPr>
            <w:r>
              <w:rPr>
                <w:b/>
              </w:rPr>
              <w:t xml:space="preserve">تاريخ السريان</w:t>
            </w:r>
          </w:p>
        </w:tc>
        <w:tc>
          <w:p>
            <w:pPr>
              <w:pStyle w:val="Compact"/>
              <w:jc w:val="left"/>
            </w:pPr>
            <w:r>
              <w:t xml:space="preserve">20 / 08 / 2026</w:t>
            </w:r>
          </w:p>
        </w:tc>
      </w:tr>
      <w:tr>
        <w:tc>
          <w:p>
            <w:pPr>
              <w:pStyle w:val="Compact"/>
              <w:jc w:val="left"/>
            </w:pPr>
            <w:r>
              <w:rPr>
                <w:b/>
              </w:rPr>
              <w:t xml:space="preserve">Date of Issue</w:t>
            </w:r>
          </w:p>
        </w:tc>
        <w:tc>
          <w:p>
            <w:pPr>
              <w:pStyle w:val="Compact"/>
              <w:jc w:val="left"/>
            </w:pPr>
            <w:r>
              <w:t xml:space="preserve">15 / 08 / 2026</w:t>
            </w:r>
          </w:p>
        </w:tc>
      </w:tr>
    </w:tbl>
    <w:p>
      <w:pPr>
        <w:pStyle w:val="BodyText"/>
      </w:pPr>
      <w:r>
        <w:t xml:space="preserve">Dexor Integrated Computer Solutions Co. W.L.L.</w:t>
      </w:r>
      <w:r>
        <w:br/>
      </w:r>
      <w:r>
        <w:t xml:space="preserve">Commercial Register 551952 · Trade Licence 2026/14049</w:t>
      </w:r>
      <w:r>
        <w:br/>
      </w:r>
      <w:r>
        <w:t xml:space="preserve">Al Salam Tower (Awqaf Bldg. 2405), 16th Floor, Office 8 — Fahad Al-Salem Street, Qibla, Capital Governorate, Kuwait City</w:t>
      </w:r>
      <w:r>
        <w:br/>
      </w:r>
      <w:r>
        <w:t xml:space="preserve">info@dexor.ae · +20 15 501 42 885 · www.dexor.ae</w:t>
      </w:r>
    </w:p>
    <w:p>
      <w:pPr>
        <w:pStyle w:val="BodyText"/>
      </w:pPr>
      <w:r>
        <w:t xml:space="preserve">شركة ديكسور للحلول المتكاملة الحاسوبية ذ.م.م</w:t>
      </w:r>
      <w:r>
        <w:br/>
      </w:r>
      <w:r>
        <w:t xml:space="preserve">سجل تجاري 551952 · ترخيص 2026/14049</w:t>
      </w:r>
      <w:r>
        <w:br/>
      </w:r>
      <w:r>
        <w:t xml:space="preserve">برج السلام (مبنى وزارة الأوقاف رقم 2405)، الدور 16، مكتب 8 — شارع فهد السالم، القبلة، محافظة العاصمة، مدينة الكويت</w:t>
      </w:r>
      <w:r>
        <w:br/>
      </w:r>
      <w:r>
        <w:t xml:space="preserve">info@dexor.ae · +20 15 501 42 885 · www.dexor.ae</w:t>
      </w:r>
    </w:p>
    <w:p>
      <w:pPr>
        <w:pStyle w:val="Heading2"/>
      </w:pPr>
      <w:bookmarkStart w:id="22" w:name="letter-of-engagement"/>
      <w:r>
        <w:t xml:space="preserve">Letter of Engagement</w:t>
      </w:r>
      <w:bookmarkEnd w:id="22"/>
    </w:p>
    <w:p>
      <w:pPr>
        <w:pStyle w:val="Heading2"/>
      </w:pPr>
      <w:bookmarkStart w:id="23" w:name="خطاب-الارتباط"/>
      <w:r>
        <w:t xml:space="preserve">خطاب الارتباط</w:t>
      </w:r>
      <w:bookmarkEnd w:id="23"/>
    </w:p>
    <w:p>
      <w:pPr>
        <w:pStyle w:val="FirstParagraph"/>
      </w:pPr>
      <w:r>
        <w:t xml:space="preserve">Kuwait · 15 August 2026 · Ref. DX-2026-013</w:t>
      </w:r>
    </w:p>
    <w:p>
      <w:pPr>
        <w:pStyle w:val="BodyText"/>
      </w:pPr>
      <w:r>
        <w:rPr>
          <w:b/>
        </w:rPr>
        <w:t xml:space="preserve">Dear Benaa Base Company,</w:t>
      </w:r>
    </w:p>
    <w:p>
      <w:pPr>
        <w:pStyle w:val="BodyText"/>
      </w:pPr>
      <w:r>
        <w:t xml:space="preserve">Thank you for the time your team invested in reviewing our proposal and for the confidence you have placed in us. We are pleased to confirm our engagement to design, implement and take live a single integrated ERP platform for your organisation.</w:t>
      </w:r>
    </w:p>
    <w:p>
      <w:pPr>
        <w:pStyle w:val="BodyText"/>
      </w:pPr>
      <w:r>
        <w:t xml:space="preserve">Our approach is deliberately simple:</w:t>
      </w:r>
      <w:r>
        <w:t xml:space="preserve"> </w:t>
      </w:r>
      <w:r>
        <w:rPr>
          <w:b/>
        </w:rPr>
        <w:t xml:space="preserve">one system, one database, one source of truth</w:t>
      </w:r>
      <w:r>
        <w:t xml:space="preserve"> </w:t>
      </w:r>
      <w:r>
        <w:t xml:space="preserve">— covering sales, purchasing, inventory, operations, finance and people, with every department writing into the same ledger in real time.</w:t>
      </w:r>
    </w:p>
    <w:p>
      <w:pPr>
        <w:pStyle w:val="BodyText"/>
      </w:pPr>
      <w:r>
        <w:t xml:space="preserve">Based on the agreed scope, the estimated duration from kick-off to go-live is approximately</w:t>
      </w:r>
      <w:r>
        <w:t xml:space="preserve"> </w:t>
      </w:r>
      <w:r>
        <w:rPr>
          <w:b/>
        </w:rPr>
        <w:t xml:space="preserve">7 to 8 weeks</w:t>
      </w:r>
      <w:r>
        <w:t xml:space="preserve">, comprising:</w:t>
      </w:r>
    </w:p>
    <w:p>
      <w:pPr>
        <w:numPr>
          <w:ilvl w:val="0"/>
          <w:numId w:val="1001"/>
        </w:numPr>
        <w:pStyle w:val="Compact"/>
      </w:pPr>
      <w:r>
        <w:t xml:space="preserve">Requirement gathering, process mapping and gap analysis</w:t>
      </w:r>
    </w:p>
    <w:p>
      <w:pPr>
        <w:numPr>
          <w:ilvl w:val="0"/>
          <w:numId w:val="1001"/>
        </w:numPr>
        <w:pStyle w:val="Compact"/>
      </w:pPr>
      <w:r>
        <w:t xml:space="preserve">System setup, configuration and chart-of-accounts design</w:t>
      </w:r>
    </w:p>
    <w:p>
      <w:pPr>
        <w:numPr>
          <w:ilvl w:val="0"/>
          <w:numId w:val="1001"/>
        </w:numPr>
        <w:pStyle w:val="Compact"/>
      </w:pPr>
      <w:r>
        <w:t xml:space="preserve">Customisation, development and report tailoring</w:t>
      </w:r>
    </w:p>
    <w:p>
      <w:pPr>
        <w:numPr>
          <w:ilvl w:val="0"/>
          <w:numId w:val="1001"/>
        </w:numPr>
        <w:pStyle w:val="Compact"/>
      </w:pPr>
      <w:r>
        <w:t xml:space="preserve">Data migration, testing and user acceptance</w:t>
      </w:r>
    </w:p>
    <w:p>
      <w:pPr>
        <w:numPr>
          <w:ilvl w:val="0"/>
          <w:numId w:val="1001"/>
        </w:numPr>
        <w:pStyle w:val="Compact"/>
      </w:pPr>
      <w:r>
        <w:t xml:space="preserve">Training, go-live and hyper-care support</w:t>
      </w:r>
    </w:p>
    <w:p>
      <w:pPr>
        <w:pStyle w:val="FirstParagraph"/>
      </w:pPr>
      <w:r>
        <w:t xml:space="preserve">Every payment milestone in this Agreement is tied to a delivered, accepted deliverable — you pay for what you have received.</w:t>
      </w:r>
    </w:p>
    <w:p>
      <w:pPr>
        <w:pStyle w:val="BodyText"/>
      </w:pPr>
      <w:r>
        <w:t xml:space="preserve">Best regards,</w:t>
      </w:r>
    </w:p>
    <w:p>
      <w:pPr>
        <w:pStyle w:val="BodyText"/>
      </w:pPr>
      <w:r>
        <w:rPr>
          <w:b/>
        </w:rPr>
        <w:t xml:space="preserve">Eng. Hisham</w:t>
      </w:r>
      <w:r>
        <w:br/>
      </w:r>
      <w:r>
        <w:t xml:space="preserve">Dexor Integrated Computer Solutions Co. W.L.L. · info@dexor.ae · Kuwait</w:t>
      </w:r>
    </w:p>
    <w:p>
      <w:pPr>
        <w:pStyle w:val="BodyText"/>
      </w:pPr>
      <w:r>
        <w:t xml:space="preserve">الكويت · 15 أغسطس 2026 · مرجع DX-2026-013</w:t>
      </w:r>
    </w:p>
    <w:p>
      <w:pPr>
        <w:pStyle w:val="BodyText"/>
      </w:pPr>
      <w:r>
        <w:rPr>
          <w:b/>
        </w:rPr>
        <w:t xml:space="preserve">السادة / شركة بناء بيز المحترمين،</w:t>
      </w:r>
    </w:p>
    <w:p>
      <w:pPr>
        <w:pStyle w:val="BodyText"/>
      </w:pPr>
      <w:r>
        <w:t xml:space="preserve">نشكركم على الوقت الذي خصصه فريقكم لمراجعة عرضنا، وعلى ثقتكم بنا. يسعدنا تأكيد ارتباطنا بتصميم وتنفيذ وتشغيل منصة تخطيط موارد مؤسسية واحدة متكاملة لمنشأتكم.</w:t>
      </w:r>
    </w:p>
    <w:p>
      <w:pPr>
        <w:pStyle w:val="BodyText"/>
      </w:pPr>
      <w:r>
        <w:t xml:space="preserve">منهجنا بسيط عن قصد:</w:t>
      </w:r>
      <w:r>
        <w:t xml:space="preserve"> </w:t>
      </w:r>
      <w:r>
        <w:rPr>
          <w:b/>
        </w:rPr>
        <w:t xml:space="preserve">نظام واحد، وقاعدة بيانات واحدة، ومصدر واحد للحقيقة</w:t>
      </w:r>
      <w:r>
        <w:t xml:space="preserve"> </w:t>
      </w:r>
      <w:r>
        <w:t xml:space="preserve">— يغطي المبيعات والمشتريات والمخزون والعمليات والمالية والموارد البشرية، مع كتابة جميع الأقسام في الدفتر ذاته وبشكل فوري.</w:t>
      </w:r>
    </w:p>
    <w:p>
      <w:pPr>
        <w:pStyle w:val="BodyText"/>
      </w:pPr>
      <w:r>
        <w:t xml:space="preserve">بناءً على النطاق المتفق عليه، تبلغ المدة التقديرية من انطلاق المشروع حتى التشغيل الفعلي نحو</w:t>
      </w:r>
      <w:r>
        <w:t xml:space="preserve"> </w:t>
      </w:r>
      <w:r>
        <w:rPr>
          <w:b/>
        </w:rPr>
        <w:t xml:space="preserve">7 إلى 8 أسابيع</w:t>
      </w:r>
      <w:r>
        <w:t xml:space="preserve">، وتشمل:</w:t>
      </w:r>
    </w:p>
    <w:p>
      <w:pPr>
        <w:numPr>
          <w:ilvl w:val="0"/>
          <w:numId w:val="1002"/>
        </w:numPr>
        <w:pStyle w:val="Compact"/>
      </w:pPr>
      <w:r>
        <w:t xml:space="preserve">جمع المتطلبات ورسم العمليات وتحليل الفجوات</w:t>
      </w:r>
    </w:p>
    <w:p>
      <w:pPr>
        <w:numPr>
          <w:ilvl w:val="0"/>
          <w:numId w:val="1002"/>
        </w:numPr>
        <w:pStyle w:val="Compact"/>
      </w:pPr>
      <w:r>
        <w:t xml:space="preserve">إعداد النظام وتهيئته وتصميم الدليل المحاسبي</w:t>
      </w:r>
    </w:p>
    <w:p>
      <w:pPr>
        <w:numPr>
          <w:ilvl w:val="0"/>
          <w:numId w:val="1002"/>
        </w:numPr>
        <w:pStyle w:val="Compact"/>
      </w:pPr>
      <w:r>
        <w:t xml:space="preserve">التخصيص والتطوير وتصميم التقارير</w:t>
      </w:r>
    </w:p>
    <w:p>
      <w:pPr>
        <w:numPr>
          <w:ilvl w:val="0"/>
          <w:numId w:val="1002"/>
        </w:numPr>
        <w:pStyle w:val="Compact"/>
      </w:pPr>
      <w:r>
        <w:t xml:space="preserve">ترحيل البيانات والاختبار واختبار قبول المستخدم</w:t>
      </w:r>
    </w:p>
    <w:p>
      <w:pPr>
        <w:numPr>
          <w:ilvl w:val="0"/>
          <w:numId w:val="1002"/>
        </w:numPr>
        <w:pStyle w:val="Compact"/>
      </w:pPr>
      <w:r>
        <w:t xml:space="preserve">التدريب والتشغيل الفعلي والدعم المكثّف</w:t>
      </w:r>
    </w:p>
    <w:p>
      <w:pPr>
        <w:pStyle w:val="FirstParagraph"/>
      </w:pPr>
      <w:r>
        <w:t xml:space="preserve">كل دفعة في هذه الاتفاقية مرتبطة بمُخرَج تم تسليمه وقبوله — فأنتم تدفعون مقابل ما استلمتموه.</w:t>
      </w:r>
    </w:p>
    <w:p>
      <w:pPr>
        <w:pStyle w:val="BodyText"/>
      </w:pPr>
      <w:r>
        <w:t xml:space="preserve">مع خالص التحية،</w:t>
      </w:r>
    </w:p>
    <w:p>
      <w:pPr>
        <w:pStyle w:val="BodyText"/>
      </w:pPr>
      <w:r>
        <w:rPr>
          <w:b/>
        </w:rPr>
        <w:t xml:space="preserve">المهندس هشام</w:t>
      </w:r>
      <w:r>
        <w:br/>
      </w:r>
      <w:r>
        <w:t xml:space="preserve">شركة ديكسور للحلول المتكاملة الحاسوبية ذ.م.م · info@dexor.ae · الكويت</w:t>
      </w:r>
    </w:p>
    <w:p>
      <w:pPr>
        <w:pStyle w:val="Heading2"/>
      </w:pPr>
      <w:bookmarkStart w:id="24" w:name="the-parties"/>
      <w:r>
        <w:t xml:space="preserve">1. The Parties</w:t>
      </w:r>
      <w:bookmarkEnd w:id="24"/>
    </w:p>
    <w:p>
      <w:pPr>
        <w:pStyle w:val="Heading2"/>
      </w:pPr>
      <w:bookmarkStart w:id="25" w:name="أطراف-الاتفاقية"/>
      <w:r>
        <w:t xml:space="preserve">1. أطراف الاتفاقية</w:t>
      </w:r>
      <w:bookmarkEnd w:id="25"/>
    </w:p>
    <w:p>
      <w:pPr>
        <w:pStyle w:val="Heading3"/>
      </w:pPr>
      <w:bookmarkStart w:id="26" w:name="first-party-the-service-provider"/>
      <w:r>
        <w:t xml:space="preserve">1.1 First Party — the Service Provider</w:t>
      </w:r>
      <w:bookmarkEnd w:id="26"/>
    </w:p>
    <w:p>
      <w:pPr>
        <w:pStyle w:val="Heading3"/>
      </w:pPr>
      <w:bookmarkStart w:id="27" w:name="الطرف-الأول-مزود-الخدمة"/>
      <w:r>
        <w:t xml:space="preserve">1.1 الطرف الأول — مزود الخدمة</w:t>
      </w:r>
      <w:bookmarkEnd w:id="27"/>
    </w:p>
    <w:tbl>
      <w:tblPr>
        <w:tblStyle w:val="Table"/>
        <w:tblW w:type="pct" w:w="0.0"/>
        <w:tblLook w:firstRow="1"/>
      </w:tblPr>
      <w:tblGrid/>
      <w:tr>
        <w:trPr>
          <w:cnfStyle w:firstRow="1"/>
        </w:trPr>
        <w:tc>
          <w:tcPr>
            <w:tcBorders>
              <w:bottom w:val="single"/>
            </w:tcBorders>
            <w:vAlign w:val="bottom"/>
          </w:tcPr>
          <w:p>
            <w:pPr>
              <w:pStyle w:val="Compact"/>
              <w:jc w:val="left"/>
            </w:pPr>
            <w:r>
              <w:t xml:space="preserve">Particular</w:t>
            </w:r>
          </w:p>
        </w:tc>
        <w:tc>
          <w:tcPr>
            <w:tcBorders>
              <w:bottom w:val="single"/>
            </w:tcBorders>
            <w:vAlign w:val="bottom"/>
          </w:tcPr>
          <w:p>
            <w:pPr>
              <w:pStyle w:val="Compact"/>
              <w:jc w:val="left"/>
            </w:pPr>
            <w:r>
              <w:t xml:space="preserve">Details</w:t>
            </w:r>
          </w:p>
        </w:tc>
      </w:tr>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No. 551952 — registered 22/07/2026</w:t>
            </w:r>
          </w:p>
        </w:tc>
      </w:tr>
      <w:tr>
        <w:tc>
          <w:p>
            <w:pPr>
              <w:pStyle w:val="Compact"/>
              <w:jc w:val="left"/>
            </w:pPr>
            <w:r>
              <w:t xml:space="preserve">Trade Licence</w:t>
            </w:r>
          </w:p>
        </w:tc>
        <w:tc>
          <w:p>
            <w:pPr>
              <w:pStyle w:val="Compact"/>
              <w:jc w:val="left"/>
            </w:pPr>
            <w:r>
              <w:t xml:space="preserve">No. 2026/14049 — valid 30/07/2026 — 29/07/2030</w:t>
            </w:r>
          </w:p>
        </w:tc>
      </w:tr>
      <w:tr>
        <w:tc>
          <w:p>
            <w:pPr>
              <w:pStyle w:val="Compact"/>
              <w:jc w:val="left"/>
            </w:pPr>
            <w:r>
              <w:t xml:space="preserve">Licensed activity</w:t>
            </w:r>
          </w:p>
        </w:tc>
        <w:tc>
          <w:p>
            <w:pPr>
              <w:pStyle w:val="Compact"/>
              <w:jc w:val="left"/>
            </w:pPr>
            <w:r>
              <w:t xml:space="preserve">Integrated Computer Solutions (activity code 620213)</w:t>
            </w:r>
          </w:p>
        </w:tc>
      </w:tr>
      <w:tr>
        <w:tc>
          <w:p>
            <w:pPr>
              <w:pStyle w:val="Compact"/>
              <w:jc w:val="left"/>
            </w:pPr>
            <w:r>
              <w:t xml:space="preserve">Registered office</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info@dexor.ae · +20 15 501 42 885 · www.dexor.ae</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البيان</w:t>
            </w:r>
          </w:p>
        </w:tc>
        <w:tc>
          <w:tcPr>
            <w:tcBorders>
              <w:bottom w:val="single"/>
            </w:tcBorders>
            <w:vAlign w:val="bottom"/>
          </w:tcPr>
          <w:p>
            <w:pPr>
              <w:pStyle w:val="Compact"/>
              <w:jc w:val="left"/>
            </w:pPr>
            <w:r>
              <w:t xml:space="preserve">التفاصيل</w:t>
            </w:r>
          </w:p>
        </w:tc>
      </w:tr>
      <w:tr>
        <w:tc>
          <w:p>
            <w:pPr>
              <w:pStyle w:val="Compact"/>
              <w:jc w:val="left"/>
            </w:pPr>
            <w:r>
              <w:t xml:space="preserve">الاسم القانوني</w:t>
            </w:r>
          </w:p>
        </w:tc>
        <w:tc>
          <w:p>
            <w:pPr>
              <w:pStyle w:val="Compact"/>
              <w:jc w:val="left"/>
            </w:pPr>
            <w:r>
              <w:t xml:space="preserve">شركة ديكسور للحلول المتكاملة الحاسوبية ذ.م.م</w:t>
            </w:r>
          </w:p>
        </w:tc>
      </w:tr>
      <w:tr>
        <w:tc>
          <w:p>
            <w:pPr>
              <w:pStyle w:val="Compact"/>
              <w:jc w:val="left"/>
            </w:pPr>
            <w:r>
              <w:t xml:space="preserve">الكيان القانوني</w:t>
            </w:r>
          </w:p>
        </w:tc>
        <w:tc>
          <w:p>
            <w:pPr>
              <w:pStyle w:val="Compact"/>
              <w:jc w:val="left"/>
            </w:pPr>
            <w:r>
              <w:t xml:space="preserve">شركة ذات مسؤولية محدودة (ذ.م.م)</w:t>
            </w:r>
          </w:p>
        </w:tc>
      </w:tr>
      <w:tr>
        <w:tc>
          <w:p>
            <w:pPr>
              <w:pStyle w:val="Compact"/>
              <w:jc w:val="left"/>
            </w:pPr>
            <w:r>
              <w:t xml:space="preserve">السجل التجاري</w:t>
            </w:r>
          </w:p>
        </w:tc>
        <w:tc>
          <w:p>
            <w:pPr>
              <w:pStyle w:val="Compact"/>
              <w:jc w:val="left"/>
            </w:pPr>
            <w:r>
              <w:t xml:space="preserve">رقم 551952 — بتاريخ 22/07/2026</w:t>
            </w:r>
          </w:p>
        </w:tc>
      </w:tr>
      <w:tr>
        <w:tc>
          <w:p>
            <w:pPr>
              <w:pStyle w:val="Compact"/>
              <w:jc w:val="left"/>
            </w:pPr>
            <w:r>
              <w:t xml:space="preserve">الترخيص التجاري</w:t>
            </w:r>
          </w:p>
        </w:tc>
        <w:tc>
          <w:p>
            <w:pPr>
              <w:pStyle w:val="Compact"/>
              <w:jc w:val="left"/>
            </w:pPr>
            <w:r>
              <w:t xml:space="preserve">رقم 2026/14049 — ساري 30/07/2026 — 29/07/2030</w:t>
            </w:r>
          </w:p>
        </w:tc>
      </w:tr>
      <w:tr>
        <w:tc>
          <w:p>
            <w:pPr>
              <w:pStyle w:val="Compact"/>
              <w:jc w:val="left"/>
            </w:pPr>
            <w:r>
              <w:t xml:space="preserve">النشاط المرخّص</w:t>
            </w:r>
          </w:p>
        </w:tc>
        <w:tc>
          <w:p>
            <w:pPr>
              <w:pStyle w:val="Compact"/>
              <w:jc w:val="left"/>
            </w:pPr>
            <w:r>
              <w:t xml:space="preserve">حلول متكاملة حاسوبية (رمز النشاط 620213)</w:t>
            </w:r>
          </w:p>
        </w:tc>
      </w:tr>
      <w:tr>
        <w:tc>
          <w:p>
            <w:pPr>
              <w:pStyle w:val="Compact"/>
              <w:jc w:val="left"/>
            </w:pPr>
            <w:r>
              <w:t xml:space="preserve">المقر المسجّل</w:t>
            </w:r>
          </w:p>
        </w:tc>
        <w:tc>
          <w:p>
            <w:pPr>
              <w:pStyle w:val="Compact"/>
              <w:jc w:val="left"/>
            </w:pPr>
            <w:r>
              <w:t xml:space="preserve">برج السلام (مبنى وزارة الأوقاف رقم 2405)، الدور 16، مكتب 8 — شارع فهد السالم، القبلة، محافظة العاصمة، مدينة الكويت</w:t>
            </w:r>
          </w:p>
        </w:tc>
      </w:tr>
      <w:tr>
        <w:tc>
          <w:p>
            <w:pPr>
              <w:pStyle w:val="Compact"/>
              <w:jc w:val="left"/>
            </w:pPr>
            <w:r>
              <w:t xml:space="preserve">الاتصال</w:t>
            </w:r>
          </w:p>
        </w:tc>
        <w:tc>
          <w:p>
            <w:pPr>
              <w:pStyle w:val="Compact"/>
              <w:jc w:val="left"/>
            </w:pPr>
            <w:r>
              <w:t xml:space="preserve">info@dexor.ae · +20 15 501 42 885 · www.dexor.ae</w:t>
            </w:r>
          </w:p>
        </w:tc>
      </w:tr>
    </w:tbl>
    <w:p>
      <w:pPr>
        <w:pStyle w:val="Heading3"/>
      </w:pPr>
      <w:bookmarkStart w:id="28" w:name="second-party-the-client"/>
      <w:r>
        <w:t xml:space="preserve">1.2 Second Party — the Client</w:t>
      </w:r>
      <w:bookmarkEnd w:id="28"/>
    </w:p>
    <w:tbl>
      <w:tblPr>
        <w:tblStyle w:val="Table"/>
        <w:tblW w:type="pct" w:w="0.0"/>
        <w:tblLook w:firstRow="0"/>
      </w:tblPr>
      <w:tblGrid/>
      <w:tr>
        <w:tc>
          <w:p>
            <w:pPr>
              <w:pStyle w:val="Compact"/>
              <w:jc w:val="left"/>
            </w:pPr>
            <w:r>
              <w:t xml:space="preserve">Legal name</w:t>
            </w:r>
          </w:p>
        </w:tc>
        <w:tc>
          <w:p>
            <w:pPr>
              <w:pStyle w:val="Compact"/>
              <w:jc w:val="left"/>
            </w:pPr>
            <w:r>
              <w:t xml:space="preserve">Benaa Base Company</w:t>
            </w:r>
          </w:p>
        </w:tc>
      </w:tr>
      <w:tr>
        <w:tc>
          <w:p>
            <w:pPr>
              <w:pStyle w:val="Compact"/>
              <w:jc w:val="left"/>
            </w:pPr>
            <w:r>
              <w:t xml:space="preserve">Commercial Register</w:t>
            </w:r>
          </w:p>
        </w:tc>
        <w:tc>
          <w:p>
            <w:pPr>
              <w:pStyle w:val="Compact"/>
              <w:jc w:val="left"/>
            </w:pPr>
            <w:r>
              <w:t xml:space="preserve">_____________________________</w:t>
            </w:r>
          </w:p>
        </w:tc>
      </w:tr>
      <w:tr>
        <w:tc>
          <w:p>
            <w:pPr>
              <w:pStyle w:val="Compact"/>
              <w:jc w:val="left"/>
            </w:pPr>
            <w:r>
              <w:t xml:space="preserve">Registered office</w:t>
            </w:r>
          </w:p>
        </w:tc>
        <w:tc>
          <w:p>
            <w:pPr>
              <w:pStyle w:val="Compact"/>
              <w:jc w:val="left"/>
            </w:pPr>
            <w:r>
              <w:t xml:space="preserve">Salhiya St , Kuwait City</w:t>
            </w:r>
          </w:p>
        </w:tc>
      </w:tr>
      <w:tr>
        <w:tc>
          <w:p>
            <w:pPr>
              <w:pStyle w:val="Compact"/>
              <w:jc w:val="left"/>
            </w:pPr>
            <w:r>
              <w:t xml:space="preserve">Represented by</w:t>
            </w:r>
          </w:p>
        </w:tc>
        <w:tc>
          <w:p>
            <w:pPr>
              <w:pStyle w:val="Compact"/>
              <w:jc w:val="left"/>
            </w:pPr>
            <w:r>
              <w:t xml:space="preserve">Nawaf Al Enezi</w:t>
            </w:r>
          </w:p>
        </w:tc>
      </w:tr>
      <w:tr>
        <w:tc>
          <w:p>
            <w:pPr>
              <w:pStyle w:val="Compact"/>
              <w:jc w:val="left"/>
            </w:pPr>
            <w:r>
              <w:t xml:space="preserve">Contact</w:t>
            </w:r>
          </w:p>
        </w:tc>
        <w:tc>
          <w:p>
            <w:pPr>
              <w:pStyle w:val="Compact"/>
              <w:jc w:val="left"/>
            </w:pPr>
            <w:r>
              <w:t xml:space="preserve">098888501</w:t>
            </w:r>
          </w:p>
        </w:tc>
      </w:tr>
    </w:tbl>
    <w:p>
      <w:pPr>
        <w:pStyle w:val="BodyText"/>
      </w:pPr>
      <w:r>
        <w:t xml:space="preserve">Hereinafter jointly referred to as the “</w:t>
      </w:r>
      <w:r>
        <w:rPr>
          <w:b/>
        </w:rPr>
        <w:t xml:space="preserve">Parties</w:t>
      </w:r>
      <w:r>
        <w:t xml:space="preserve">” and individually as a “</w:t>
      </w:r>
      <w:r>
        <w:rPr>
          <w:b/>
        </w:rPr>
        <w:t xml:space="preserve">Party</w:t>
      </w:r>
      <w:r>
        <w:t xml:space="preserve">”.</w:t>
      </w:r>
    </w:p>
    <w:p>
      <w:pPr>
        <w:pStyle w:val="Heading3"/>
      </w:pPr>
      <w:bookmarkStart w:id="29" w:name="الطرف-الثاني-العميل"/>
      <w:r>
        <w:t xml:space="preserve">1.2 الطرف الثاني — العميل</w:t>
      </w:r>
      <w:bookmarkEnd w:id="29"/>
    </w:p>
    <w:tbl>
      <w:tblPr>
        <w:tblStyle w:val="Table"/>
        <w:tblW w:type="pct" w:w="0.0"/>
        <w:tblLook w:firstRow="0"/>
      </w:tblPr>
      <w:tblGrid/>
      <w:tr>
        <w:tc>
          <w:p>
            <w:pPr>
              <w:pStyle w:val="Compact"/>
              <w:jc w:val="left"/>
            </w:pPr>
            <w:r>
              <w:t xml:space="preserve">الاسم القانوني</w:t>
            </w:r>
          </w:p>
        </w:tc>
        <w:tc>
          <w:p>
            <w:pPr>
              <w:pStyle w:val="Compact"/>
              <w:jc w:val="left"/>
            </w:pPr>
            <w:r>
              <w:t xml:space="preserve">شركة بناء بيز</w:t>
            </w:r>
          </w:p>
        </w:tc>
      </w:tr>
      <w:tr>
        <w:tc>
          <w:p>
            <w:pPr>
              <w:pStyle w:val="Compact"/>
              <w:jc w:val="left"/>
            </w:pPr>
            <w:r>
              <w:t xml:space="preserve">السجل التجاري</w:t>
            </w:r>
          </w:p>
        </w:tc>
        <w:tc>
          <w:p>
            <w:pPr>
              <w:pStyle w:val="Compact"/>
              <w:jc w:val="left"/>
            </w:pPr>
            <w:r>
              <w:t xml:space="preserve">_____________________________</w:t>
            </w:r>
          </w:p>
        </w:tc>
      </w:tr>
      <w:tr>
        <w:tc>
          <w:p>
            <w:pPr>
              <w:pStyle w:val="Compact"/>
              <w:jc w:val="left"/>
            </w:pPr>
            <w:r>
              <w:t xml:space="preserve">المقر المسجّل</w:t>
            </w:r>
          </w:p>
        </w:tc>
        <w:tc>
          <w:p>
            <w:pPr>
              <w:pStyle w:val="Compact"/>
              <w:jc w:val="left"/>
            </w:pPr>
            <w:r>
              <w:t xml:space="preserve">شارع الصالحية، مدينة الكويت</w:t>
            </w:r>
          </w:p>
        </w:tc>
      </w:tr>
      <w:tr>
        <w:tc>
          <w:p>
            <w:pPr>
              <w:pStyle w:val="Compact"/>
              <w:jc w:val="left"/>
            </w:pPr>
            <w:r>
              <w:t xml:space="preserve">يمثلها</w:t>
            </w:r>
          </w:p>
        </w:tc>
        <w:tc>
          <w:p>
            <w:pPr>
              <w:pStyle w:val="Compact"/>
              <w:jc w:val="left"/>
            </w:pPr>
            <w:r>
              <w:t xml:space="preserve">نواف العنزي</w:t>
            </w:r>
          </w:p>
        </w:tc>
      </w:tr>
      <w:tr>
        <w:tc>
          <w:p>
            <w:pPr>
              <w:pStyle w:val="Compact"/>
              <w:jc w:val="left"/>
            </w:pPr>
            <w:r>
              <w:t xml:space="preserve">بيانات الاتصال</w:t>
            </w:r>
          </w:p>
        </w:tc>
        <w:tc>
          <w:p>
            <w:pPr>
              <w:pStyle w:val="Compact"/>
              <w:jc w:val="left"/>
            </w:pPr>
            <w:r>
              <w:t xml:space="preserve">098888501</w:t>
            </w:r>
          </w:p>
        </w:tc>
      </w:tr>
    </w:tbl>
    <w:p>
      <w:pPr>
        <w:pStyle w:val="BodyText"/>
      </w:pPr>
      <w:r>
        <w:t xml:space="preserve">ويُشار إليهما مجتمعَين بـ «</w:t>
      </w:r>
      <w:r>
        <w:rPr>
          <w:b/>
        </w:rPr>
        <w:t xml:space="preserve">الطرفين</w:t>
      </w:r>
      <w:r>
        <w:t xml:space="preserve">» وإلى كل منهما منفرداً بـ «</w:t>
      </w:r>
      <w:r>
        <w:rPr>
          <w:b/>
        </w:rPr>
        <w:t xml:space="preserve">الطرف</w:t>
      </w:r>
      <w:r>
        <w:t xml:space="preserve">».</w:t>
      </w:r>
    </w:p>
    <w:p>
      <w:pPr>
        <w:pStyle w:val="Heading2"/>
      </w:pPr>
      <w:bookmarkStart w:id="30" w:name="objective-of-the-agreement"/>
      <w:r>
        <w:t xml:space="preserve">2. Objective of the Agreement</w:t>
      </w:r>
      <w:bookmarkEnd w:id="30"/>
    </w:p>
    <w:p>
      <w:pPr>
        <w:pStyle w:val="Heading2"/>
      </w:pPr>
      <w:bookmarkStart w:id="31" w:name="الغرض-من-الاتفاقية"/>
      <w:r>
        <w:t xml:space="preserve">2. الغرض من الاتفاقية</w:t>
      </w:r>
      <w:bookmarkEnd w:id="31"/>
    </w:p>
    <w:p>
      <w:pPr>
        <w:pStyle w:val="FirstParagraph"/>
      </w:pPr>
      <w:r>
        <w:t xml:space="preserve">The Service Provider shall deliver</w:t>
      </w:r>
      <w:r>
        <w:t xml:space="preserve"> </w:t>
      </w:r>
      <w:r>
        <w:rPr>
          <w:b/>
        </w:rPr>
        <w:t xml:space="preserve">one fully integrated Odoo ERP system</w:t>
      </w:r>
      <w:r>
        <w:t xml:space="preserve"> </w:t>
      </w:r>
      <w:r>
        <w:t xml:space="preserve">covering the Client’s complete operating cycle, with strong inter-departmental linkage between sales, purchasing, inventory, operations, finance and human resources — implemented, configured, migrated, tested, trained and taken live by the Service Provider’s specialised team in Kuwait.</w:t>
      </w:r>
    </w:p>
    <w:p>
      <w:pPr>
        <w:pStyle w:val="BodyText"/>
      </w:pPr>
      <w:r>
        <w:t xml:space="preserve">يلتزم مزود الخدمة بتسليم</w:t>
      </w:r>
      <w:r>
        <w:t xml:space="preserve"> </w:t>
      </w:r>
      <w:r>
        <w:rPr>
          <w:b/>
        </w:rPr>
        <w:t xml:space="preserve">نظام Odoo ERP واحد متكامل</w:t>
      </w:r>
      <w:r>
        <w:t xml:space="preserve"> </w:t>
      </w:r>
      <w:r>
        <w:t xml:space="preserve">يغطي دورة التشغيل الكاملة للعميل، مع ترابط قوي بين المبيعات والمشتريات والمخزون والعمليات والمالية والموارد البشرية — يتم تنفيذه وتهيئته وترحيل بياناته واختباره وتدريب مستخدميه وتشغيله بواسطة فريق مزود الخدمة المتخصص في الكويت.</w:t>
      </w:r>
    </w:p>
    <w:p>
      <w:pPr>
        <w:pStyle w:val="Heading2"/>
      </w:pPr>
      <w:bookmarkStart w:id="32" w:name="Xf5b40045d7cebaf394d5afb590276eb75465be2"/>
      <w:r>
        <w:t xml:space="preserve">2A. Contracting Entity &amp; Incorporated Documents</w:t>
      </w:r>
      <w:bookmarkEnd w:id="32"/>
    </w:p>
    <w:p>
      <w:pPr>
        <w:pStyle w:val="Heading2"/>
      </w:pPr>
      <w:bookmarkStart w:id="33" w:name="أ.-الجهة-المتعاقدة-والمستندات-المدمجة"/>
      <w:r>
        <w:t xml:space="preserve">2أ. الجهة المتعاقدة والمستندات المُدمجة</w:t>
      </w:r>
      <w:bookmarkEnd w:id="33"/>
    </w:p>
    <w:p>
      <w:pPr>
        <w:pStyle w:val="FirstParagraph"/>
      </w:pPr>
      <w:r>
        <w:rPr>
          <w:b/>
        </w:rPr>
        <w:t xml:space="preserve">Important</w:t>
      </w:r>
    </w:p>
    <w:p>
      <w:pPr>
        <w:pStyle w:val="BodyText"/>
      </w:pPr>
      <w:r>
        <w:rPr>
          <w:b/>
        </w:rPr>
        <w:t xml:space="preserve">Dexor Integrated Computer Solutions Co. W.L.L. is the licensed Kuwaiti legal entity behind the</w:t>
      </w:r>
      <w:r>
        <w:rPr>
          <w:b/>
        </w:rPr>
        <w:t xml:space="preserve"> </w:t>
      </w:r>
      <w:r>
        <w:rPr>
          <w:b/>
          <w:b/>
        </w:rPr>
        <w:t xml:space="preserve">Dexor</w:t>
      </w:r>
      <w:r>
        <w:rPr>
          <w:b/>
        </w:rPr>
        <w:t xml:space="preserve"> </w:t>
      </w:r>
      <w:r>
        <w:rPr>
          <w:b/>
        </w:rPr>
        <w:t xml:space="preserve">brand (</w:t>
      </w:r>
      <w:r>
        <w:rPr>
          <w:b/>
          <w:b/>
        </w:rPr>
        <w:t xml:space="preserve">www.dexor.ae</w:t>
      </w:r>
      <w:r>
        <w:rPr>
          <w:b/>
        </w:rPr>
        <w:t xml:space="preserve">).</w:t>
      </w:r>
      <w:r>
        <w:t xml:space="preserve"> </w:t>
      </w:r>
      <w:r>
        <w:t xml:space="preserve">All prior quotations, proposals, presentations and correspondence issued under the Dexor name remain fully binding — contracting through the registered company does not replace, cancel or reduce any commitment already made to the Client.</w:t>
      </w:r>
    </w:p>
    <w:p>
      <w:pPr>
        <w:pStyle w:val="BodyText"/>
      </w:pPr>
      <w:r>
        <w:rPr>
          <w:b/>
        </w:rPr>
        <w:t xml:space="preserve">هام</w:t>
      </w:r>
    </w:p>
    <w:p>
      <w:pPr>
        <w:pStyle w:val="BodyText"/>
      </w:pPr>
      <w:r>
        <w:rPr>
          <w:b/>
        </w:rPr>
        <w:t xml:space="preserve">إن شركة ديكسور للحلول المتكاملة الحاسوبية ذ.م.م هي الكيان القانوني الكويتي المرخّص الذي يقف خلف العلامة التجارية</w:t>
      </w:r>
      <w:r>
        <w:rPr>
          <w:b/>
        </w:rPr>
        <w:t xml:space="preserve"> </w:t>
      </w:r>
      <w:r>
        <w:rPr>
          <w:b/>
          <w:b/>
        </w:rPr>
        <w:t xml:space="preserve">ديكسور</w:t>
      </w:r>
      <w:r>
        <w:rPr>
          <w:b/>
        </w:rPr>
        <w:t xml:space="preserve"> </w:t>
      </w:r>
      <w:r>
        <w:rPr>
          <w:b/>
        </w:rPr>
        <w:t xml:space="preserve">(</w:t>
      </w:r>
      <w:r>
        <w:rPr>
          <w:b/>
          <w:b/>
        </w:rPr>
        <w:t xml:space="preserve">www.dexor.ae</w:t>
      </w:r>
      <w:r>
        <w:rPr>
          <w:b/>
        </w:rPr>
        <w:t xml:space="preserve">).</w:t>
      </w:r>
      <w:r>
        <w:t xml:space="preserve"> </w:t>
      </w:r>
      <w:r>
        <w:t xml:space="preserve">وتبقى جميع العروض والمقترحات والعروض التقديمية والمراسلات السابقة الصادرة باسم ديكسور ملزمة بالكامل — وإن التعاقد عبر الشركة المسجّلة لا يلغي أو يُبطل أو يُنقص أي التزام سبق تقديمه للعميل.</w:t>
      </w:r>
    </w:p>
    <w:p>
      <w:pPr>
        <w:pStyle w:val="Heading3"/>
      </w:pPr>
      <w:bookmarkStart w:id="34" w:name="Xaf0b5205c1654be8059d078c46cc60092c1f596"/>
      <w:r>
        <w:t xml:space="preserve">2A.1 Documents forming part of this Agreement</w:t>
      </w:r>
      <w:bookmarkEnd w:id="34"/>
    </w:p>
    <w:p>
      <w:pPr>
        <w:pStyle w:val="FirstParagraph"/>
      </w:pPr>
      <w:r>
        <w:t xml:space="preserve">This Agreement expressly incorporates, and must be read together with: (a) the signed quotation / proposal referenced on the cover page; (b) all related emails and correspondence from the</w:t>
      </w:r>
      <w:r>
        <w:t xml:space="preserve"> </w:t>
      </w:r>
      <w:r>
        <w:rPr>
          <w:b/>
        </w:rPr>
        <w:t xml:space="preserve">dexor.ae</w:t>
      </w:r>
      <w:r>
        <w:t xml:space="preserve"> </w:t>
      </w:r>
      <w:r>
        <w:t xml:space="preserve">domain concerning the implementation scope; and (c) Annex A (Scope &amp; User Confirmation). Each forms an integral, binding part of this Agreement.</w:t>
      </w:r>
    </w:p>
    <w:p>
      <w:pPr>
        <w:pStyle w:val="Heading3"/>
      </w:pPr>
      <w:bookmarkStart w:id="35" w:name="a.2-order-of-precedence"/>
      <w:r>
        <w:t xml:space="preserve">2A.2 Order of precedence</w:t>
      </w:r>
      <w:bookmarkEnd w:id="35"/>
    </w:p>
    <w:p>
      <w:pPr>
        <w:pStyle w:val="FirstParagraph"/>
      </w:pPr>
      <w:r>
        <w:t xml:space="preserve">In the event of conflict, the order of precedence is: this Agreement → Annex A → the quotation → other correspondence. Where a document grants the Client a greater benefit, that greater benefit prevails.</w:t>
      </w:r>
    </w:p>
    <w:p>
      <w:pPr>
        <w:pStyle w:val="Heading3"/>
      </w:pPr>
      <w:bookmarkStart w:id="36" w:name="أ.1-المستندات-المكونة-لهذه-الاتفاقية"/>
      <w:r>
        <w:t xml:space="preserve">2أ.1 المستندات المكوّنة لهذه الاتفاقية</w:t>
      </w:r>
      <w:bookmarkEnd w:id="36"/>
    </w:p>
    <w:p>
      <w:pPr>
        <w:pStyle w:val="FirstParagraph"/>
      </w:pPr>
      <w:r>
        <w:t xml:space="preserve">تتضمّن هذه الاتفاقية وبشكل صريح، ويجب أن تُقرأ مع: (أ) عرض السعر / المقترح الموقّع المشار إليه في صفحة الغلاف؛ (ب) جميع الرسائل والمراسلات ذات الصلة من نطاق</w:t>
      </w:r>
      <w:r>
        <w:t xml:space="preserve"> </w:t>
      </w:r>
      <w:r>
        <w:rPr>
          <w:b/>
        </w:rPr>
        <w:t xml:space="preserve">dexor.ae</w:t>
      </w:r>
      <w:r>
        <w:t xml:space="preserve"> </w:t>
      </w:r>
      <w:r>
        <w:t xml:space="preserve">بخصوص نطاق التنفيذ؛ (ج) الملحق (أ) — تأكيد النطاق والمستخدمين. ويُعدّ كل منها جزءاً لا يتجزأ ومُلزماً من هذه الاتفاقية.</w:t>
      </w:r>
    </w:p>
    <w:p>
      <w:pPr>
        <w:pStyle w:val="Heading3"/>
      </w:pPr>
      <w:bookmarkStart w:id="37" w:name="أ.2-ترتيب-الأولوية"/>
      <w:r>
        <w:t xml:space="preserve">2أ.2 ترتيب الأولوية</w:t>
      </w:r>
      <w:bookmarkEnd w:id="37"/>
    </w:p>
    <w:p>
      <w:pPr>
        <w:pStyle w:val="FirstParagraph"/>
      </w:pPr>
      <w:r>
        <w:t xml:space="preserve">عند وجود تعارض، يكون ترتيب الأولوية: هذه الاتفاقية ← الملحق (أ) ← عرض السعر ← باقي المراسلات. وإذا منح أي مستند العميل ميزة أكبر، فتسود تلك الميزة الأكبر.</w:t>
      </w:r>
    </w:p>
    <w:p>
      <w:pPr>
        <w:pStyle w:val="Heading2"/>
      </w:pPr>
      <w:bookmarkStart w:id="38" w:name="scope-core-erp-modules"/>
      <w:r>
        <w:t xml:space="preserve">3. Scope — Core ERP Modules</w:t>
      </w:r>
      <w:bookmarkEnd w:id="38"/>
    </w:p>
    <w:p>
      <w:pPr>
        <w:pStyle w:val="Heading2"/>
      </w:pPr>
      <w:bookmarkStart w:id="39" w:name="النطاق-وحدات-النظام-الأساسية"/>
      <w:r>
        <w:t xml:space="preserve">3. النطاق — وحدات النظام الأساسية</w:t>
      </w:r>
      <w:bookmarkEnd w:id="39"/>
    </w:p>
    <w:tbl>
      <w:tblPr>
        <w:tblStyle w:val="Table"/>
        <w:tblW w:type="pct" w:w="0.0"/>
        <w:tblLook w:firstRow="1"/>
      </w:tblPr>
      <w:tblGrid/>
      <w:tr>
        <w:trPr>
          <w:cnfStyle w:firstRow="1"/>
        </w:trPr>
        <w:tc>
          <w:tcPr>
            <w:tcBorders>
              <w:bottom w:val="single"/>
            </w:tcBorders>
            <w:vAlign w:val="bottom"/>
          </w:tcPr>
          <w:p>
            <w:pPr>
              <w:pStyle w:val="Compact"/>
              <w:jc w:val="left"/>
            </w:pPr>
            <w:r>
              <w:t xml:space="preserve">Module</w:t>
            </w:r>
          </w:p>
        </w:tc>
        <w:tc>
          <w:tcPr>
            <w:tcBorders>
              <w:bottom w:val="single"/>
            </w:tcBorders>
            <w:vAlign w:val="bottom"/>
          </w:tcPr>
          <w:p>
            <w:pPr>
              <w:pStyle w:val="Compact"/>
              <w:jc w:val="left"/>
            </w:pPr>
            <w:r>
              <w:t xml:space="preserve">Coverage</w:t>
            </w:r>
          </w:p>
        </w:tc>
      </w:tr>
      <w:tr>
        <w:tc>
          <w:p>
            <w:pPr>
              <w:pStyle w:val="Compact"/>
              <w:jc w:val="left"/>
            </w:pPr>
            <w:r>
              <w:t xml:space="preserve">01 · CRM &amp; Marketing</w:t>
            </w:r>
          </w:p>
        </w:tc>
        <w:tc>
          <w:p>
            <w:pPr>
              <w:pStyle w:val="Compact"/>
              <w:jc w:val="left"/>
            </w:pPr>
            <w:r>
              <w:t xml:space="preserve">Leads, opportunities, quotations &amp; follow-up in one pipeline</w:t>
            </w:r>
          </w:p>
        </w:tc>
      </w:tr>
      <w:tr>
        <w:tc>
          <w:p>
            <w:pPr>
              <w:pStyle w:val="Compact"/>
              <w:jc w:val="left"/>
            </w:pPr>
            <w:r>
              <w:t xml:space="preserve">02 · Sales</w:t>
            </w:r>
          </w:p>
        </w:tc>
        <w:tc>
          <w:p>
            <w:pPr>
              <w:pStyle w:val="Compact"/>
              <w:jc w:val="left"/>
            </w:pPr>
            <w:r>
              <w:t xml:space="preserve">Quotations, sales orders, price lists &amp; customer portal</w:t>
            </w:r>
          </w:p>
        </w:tc>
      </w:tr>
      <w:tr>
        <w:tc>
          <w:p>
            <w:pPr>
              <w:pStyle w:val="Compact"/>
              <w:jc w:val="left"/>
            </w:pPr>
            <w:r>
              <w:t xml:space="preserve">03 · Purchase &amp; Procurement</w:t>
            </w:r>
          </w:p>
        </w:tc>
        <w:tc>
          <w:p>
            <w:pPr>
              <w:pStyle w:val="Compact"/>
              <w:jc w:val="left"/>
            </w:pPr>
            <w:r>
              <w:t xml:space="preserve">RFQs, vendor pricing, imports &amp; automated reordering</w:t>
            </w:r>
          </w:p>
        </w:tc>
      </w:tr>
      <w:tr>
        <w:tc>
          <w:p>
            <w:pPr>
              <w:pStyle w:val="Compact"/>
              <w:jc w:val="left"/>
            </w:pPr>
            <w:r>
              <w:t xml:space="preserve">04 · Inventory &amp; Warehousing</w:t>
            </w:r>
          </w:p>
        </w:tc>
        <w:tc>
          <w:p>
            <w:pPr>
              <w:pStyle w:val="Compact"/>
              <w:jc w:val="left"/>
            </w:pPr>
            <w:r>
              <w:t xml:space="preserve">Multi-warehouse, lots/serials, barcode &amp; real-time valuation</w:t>
            </w:r>
          </w:p>
        </w:tc>
      </w:tr>
      <w:tr>
        <w:tc>
          <w:p>
            <w:pPr>
              <w:pStyle w:val="Compact"/>
              <w:jc w:val="left"/>
            </w:pPr>
            <w:r>
              <w:t xml:space="preserve">05 · Accounting &amp; Finance</w:t>
            </w:r>
          </w:p>
        </w:tc>
        <w:tc>
          <w:p>
            <w:pPr>
              <w:pStyle w:val="Compact"/>
              <w:jc w:val="left"/>
            </w:pPr>
            <w:r>
              <w:t xml:space="preserve">Full ledger, AR/AP, assets, budgets &amp; statutory reporting</w:t>
            </w:r>
          </w:p>
        </w:tc>
      </w:tr>
      <w:tr>
        <w:tc>
          <w:p>
            <w:pPr>
              <w:pStyle w:val="Compact"/>
              <w:jc w:val="left"/>
            </w:pPr>
            <w:r>
              <w:t xml:space="preserve">06 · Human Resources</w:t>
            </w:r>
          </w:p>
        </w:tc>
        <w:tc>
          <w:p>
            <w:pPr>
              <w:pStyle w:val="Compact"/>
              <w:jc w:val="left"/>
            </w:pPr>
            <w:r>
              <w:t xml:space="preserve">Employees, contracts, attendance, leaves &amp; payroll</w:t>
            </w:r>
          </w:p>
        </w:tc>
      </w:tr>
      <w:tr>
        <w:tc>
          <w:p>
            <w:pPr>
              <w:pStyle w:val="Compact"/>
              <w:jc w:val="left"/>
            </w:pPr>
            <w:r>
              <w:t xml:space="preserve">07 · Analytics &amp; Dashboards</w:t>
            </w:r>
          </w:p>
        </w:tc>
        <w:tc>
          <w:p>
            <w:pPr>
              <w:pStyle w:val="Compact"/>
              <w:jc w:val="left"/>
            </w:pPr>
            <w:r>
              <w:t xml:space="preserve">Management cockpit — live KPIs and drill-down reports</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الوحدة</w:t>
            </w:r>
          </w:p>
        </w:tc>
        <w:tc>
          <w:tcPr>
            <w:tcBorders>
              <w:bottom w:val="single"/>
            </w:tcBorders>
            <w:vAlign w:val="bottom"/>
          </w:tcPr>
          <w:p>
            <w:pPr>
              <w:pStyle w:val="Compact"/>
              <w:jc w:val="left"/>
            </w:pPr>
            <w:r>
              <w:t xml:space="preserve">التغطية</w:t>
            </w:r>
          </w:p>
        </w:tc>
      </w:tr>
      <w:tr>
        <w:tc>
          <w:p>
            <w:pPr>
              <w:pStyle w:val="Compact"/>
              <w:jc w:val="left"/>
            </w:pPr>
            <w:r>
              <w:t xml:space="preserve">إدارة علاقات العملاء والتسويق</w:t>
            </w:r>
          </w:p>
        </w:tc>
        <w:tc>
          <w:p>
            <w:pPr>
              <w:pStyle w:val="Compact"/>
              <w:jc w:val="left"/>
            </w:pPr>
            <w:r>
              <w:t xml:space="preserve">العملاء المحتملون والفرص وعروض الأسعار والمتابعة في مسار واحد</w:t>
            </w:r>
          </w:p>
        </w:tc>
      </w:tr>
      <w:tr>
        <w:tc>
          <w:p>
            <w:pPr>
              <w:pStyle w:val="Compact"/>
              <w:jc w:val="left"/>
            </w:pPr>
            <w:r>
              <w:t xml:space="preserve">المبيعات</w:t>
            </w:r>
          </w:p>
        </w:tc>
        <w:tc>
          <w:p>
            <w:pPr>
              <w:pStyle w:val="Compact"/>
              <w:jc w:val="left"/>
            </w:pPr>
            <w:r>
              <w:t xml:space="preserve">عروض الأسعار وأوامر البيع وقوائم الأسعار وبوابة العملاء</w:t>
            </w:r>
          </w:p>
        </w:tc>
      </w:tr>
      <w:tr>
        <w:tc>
          <w:p>
            <w:pPr>
              <w:pStyle w:val="Compact"/>
              <w:jc w:val="left"/>
            </w:pPr>
            <w:r>
              <w:t xml:space="preserve">المشتريات والتوريد</w:t>
            </w:r>
          </w:p>
        </w:tc>
        <w:tc>
          <w:p>
            <w:pPr>
              <w:pStyle w:val="Compact"/>
              <w:jc w:val="left"/>
            </w:pPr>
            <w:r>
              <w:t xml:space="preserve">طلبات الأسعار وأسعار الموردين والاستيراد وإعادة الطلب الآلي</w:t>
            </w:r>
          </w:p>
        </w:tc>
      </w:tr>
      <w:tr>
        <w:tc>
          <w:p>
            <w:pPr>
              <w:pStyle w:val="Compact"/>
              <w:jc w:val="left"/>
            </w:pPr>
            <w:r>
              <w:t xml:space="preserve">المخزون والمستودعات</w:t>
            </w:r>
          </w:p>
        </w:tc>
        <w:tc>
          <w:p>
            <w:pPr>
              <w:pStyle w:val="Compact"/>
              <w:jc w:val="left"/>
            </w:pPr>
            <w:r>
              <w:t xml:space="preserve">مستودعات متعددة والدفعات والأرقام التسلسلية والباركود والتقييم الفوري</w:t>
            </w:r>
          </w:p>
        </w:tc>
      </w:tr>
      <w:tr>
        <w:tc>
          <w:p>
            <w:pPr>
              <w:pStyle w:val="Compact"/>
              <w:jc w:val="left"/>
            </w:pPr>
            <w:r>
              <w:t xml:space="preserve">المحاسبة والمالية</w:t>
            </w:r>
          </w:p>
        </w:tc>
        <w:tc>
          <w:p>
            <w:pPr>
              <w:pStyle w:val="Compact"/>
              <w:jc w:val="left"/>
            </w:pPr>
            <w:r>
              <w:t xml:space="preserve">دفتر أستاذ كامل والذمم والأصول والموازنات والتقارير النظامية</w:t>
            </w:r>
          </w:p>
        </w:tc>
      </w:tr>
      <w:tr>
        <w:tc>
          <w:p>
            <w:pPr>
              <w:pStyle w:val="Compact"/>
              <w:jc w:val="left"/>
            </w:pPr>
            <w:r>
              <w:t xml:space="preserve">الموارد البشرية</w:t>
            </w:r>
          </w:p>
        </w:tc>
        <w:tc>
          <w:p>
            <w:pPr>
              <w:pStyle w:val="Compact"/>
              <w:jc w:val="left"/>
            </w:pPr>
            <w:r>
              <w:t xml:space="preserve">الموظفون والعقود والحضور والإجازات والرواتب</w:t>
            </w:r>
          </w:p>
        </w:tc>
      </w:tr>
      <w:tr>
        <w:tc>
          <w:p>
            <w:pPr>
              <w:pStyle w:val="Compact"/>
              <w:jc w:val="left"/>
            </w:pPr>
            <w:r>
              <w:t xml:space="preserve">التحليلات ولوحات المعلومات</w:t>
            </w:r>
          </w:p>
        </w:tc>
        <w:tc>
          <w:p>
            <w:pPr>
              <w:pStyle w:val="Compact"/>
              <w:jc w:val="left"/>
            </w:pPr>
            <w:r>
              <w:t xml:space="preserve">قمرة قيادة الإدارة — مؤشرات حيّة وتقارير تفصيلية</w:t>
            </w:r>
          </w:p>
        </w:tc>
      </w:tr>
    </w:tbl>
    <w:p>
      <w:pPr>
        <w:pStyle w:val="Heading2"/>
      </w:pPr>
      <w:bookmarkStart w:id="40" w:name="additional-optional-scope"/>
      <w:r>
        <w:t xml:space="preserve">4. Additional &amp; Optional Scope</w:t>
      </w:r>
      <w:bookmarkEnd w:id="40"/>
    </w:p>
    <w:p>
      <w:pPr>
        <w:pStyle w:val="Heading2"/>
      </w:pPr>
      <w:bookmarkStart w:id="41" w:name="النطاق-الإضافي-والاختياري"/>
      <w:r>
        <w:t xml:space="preserve">4. النطاق الإضافي والاختياري</w:t>
      </w:r>
      <w:bookmarkEnd w:id="41"/>
    </w:p>
    <w:p>
      <w:pPr>
        <w:pStyle w:val="FirstParagraph"/>
      </w:pPr>
      <w:r>
        <w:t xml:space="preserve">The items below are delivered where ticked in</w:t>
      </w:r>
      <w:r>
        <w:t xml:space="preserve"> </w:t>
      </w:r>
      <w:r>
        <w:rPr>
          <w:b/>
        </w:rPr>
        <w:t xml:space="preserve">Annex A</w:t>
      </w:r>
      <w:r>
        <w:t xml:space="preserve">. Items not ticked may be added later under the change-control procedure (§10.3).</w:t>
      </w:r>
    </w:p>
    <w:p>
      <w:pPr>
        <w:pStyle w:val="BodyText"/>
      </w:pPr>
      <w:r>
        <w:t xml:space="preserve">تُسلَّم البنود أدناه وفقاً لما يتم تحديده في</w:t>
      </w:r>
      <w:r>
        <w:t xml:space="preserve"> </w:t>
      </w:r>
      <w:r>
        <w:rPr>
          <w:b/>
        </w:rPr>
        <w:t xml:space="preserve">الملحق (أ)</w:t>
      </w:r>
      <w:r>
        <w:t xml:space="preserve">. ويمكن إضافة البنود غير المحددة لاحقاً وفق إجراء إدارة التغيير (البند 10.3).</w:t>
      </w:r>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Details</w:t>
            </w:r>
          </w:p>
        </w:tc>
      </w:tr>
      <w:tr>
        <w:tc>
          <w:p>
            <w:pPr>
              <w:pStyle w:val="Compact"/>
              <w:jc w:val="left"/>
            </w:pPr>
            <w:r>
              <w:t xml:space="preserve">Data Migration</w:t>
            </w:r>
          </w:p>
        </w:tc>
        <w:tc>
          <w:p>
            <w:pPr>
              <w:pStyle w:val="Compact"/>
              <w:jc w:val="left"/>
            </w:pPr>
            <w:r>
              <w:t xml:space="preserve">Master data + opening balances from the legacy system</w:t>
            </w:r>
          </w:p>
        </w:tc>
      </w:tr>
      <w:tr>
        <w:tc>
          <w:p>
            <w:pPr>
              <w:pStyle w:val="Compact"/>
              <w:jc w:val="left"/>
            </w:pPr>
            <w:r>
              <w:t xml:space="preserve">Report Customisation</w:t>
            </w:r>
          </w:p>
        </w:tc>
        <w:tc>
          <w:p>
            <w:pPr>
              <w:pStyle w:val="Compact"/>
              <w:jc w:val="left"/>
            </w:pPr>
            <w:r>
              <w:t xml:space="preserve">Tailored invoices, statements and management reports</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البند</w:t>
            </w:r>
          </w:p>
        </w:tc>
        <w:tc>
          <w:tcPr>
            <w:tcBorders>
              <w:bottom w:val="single"/>
            </w:tcBorders>
            <w:vAlign w:val="bottom"/>
          </w:tcPr>
          <w:p>
            <w:pPr>
              <w:pStyle w:val="Compact"/>
              <w:jc w:val="left"/>
            </w:pPr>
            <w:r>
              <w:t xml:space="preserve">التفاصيل</w:t>
            </w:r>
          </w:p>
        </w:tc>
      </w:tr>
      <w:tr>
        <w:tc>
          <w:p>
            <w:pPr>
              <w:pStyle w:val="Compact"/>
              <w:jc w:val="left"/>
            </w:pPr>
            <w:r>
              <w:t xml:space="preserve">ترحيل البيانات</w:t>
            </w:r>
          </w:p>
        </w:tc>
        <w:tc>
          <w:p>
            <w:pPr>
              <w:pStyle w:val="Compact"/>
              <w:jc w:val="left"/>
            </w:pPr>
            <w:r>
              <w:t xml:space="preserve">البيانات الأساسية والأرصدة الافتتاحية من النظام القديم</w:t>
            </w:r>
          </w:p>
        </w:tc>
      </w:tr>
      <w:tr>
        <w:tc>
          <w:p>
            <w:pPr>
              <w:pStyle w:val="Compact"/>
              <w:jc w:val="left"/>
            </w:pPr>
            <w:r>
              <w:t xml:space="preserve">تخصيص التقارير</w:t>
            </w:r>
          </w:p>
        </w:tc>
        <w:tc>
          <w:p>
            <w:pPr>
              <w:pStyle w:val="Compact"/>
              <w:jc w:val="left"/>
            </w:pPr>
            <w:r>
              <w:t xml:space="preserve">فواتير وكشوف وتقارير إدارية مخصصة</w:t>
            </w:r>
          </w:p>
        </w:tc>
      </w:tr>
    </w:tbl>
    <w:p>
      <w:pPr>
        <w:pStyle w:val="BodyText"/>
      </w:pPr>
      <w:r>
        <w:rPr>
          <w:b/>
        </w:rPr>
        <w:t xml:space="preserve">No-extra-cost commitment.</w:t>
      </w:r>
      <w:r>
        <w:t xml:space="preserve"> </w:t>
      </w:r>
      <w:r>
        <w:t xml:space="preserve">Any feature jointly identified as genuinely important to the business during implementation — and reasonable in size — is delivered at no additional cost.</w:t>
      </w:r>
    </w:p>
    <w:p>
      <w:pPr>
        <w:pStyle w:val="BodyText"/>
      </w:pPr>
      <w:r>
        <w:rPr>
          <w:b/>
        </w:rPr>
        <w:t xml:space="preserve">التزام بعدم وجود تكلفة إضافية.</w:t>
      </w:r>
      <w:r>
        <w:t xml:space="preserve"> </w:t>
      </w:r>
      <w:r>
        <w:t xml:space="preserve">أي ميزة يتفق الطرفان على أهميتها الفعلية للأعمال خلال التنفيذ — وتكون معقولة الحجم — تُنفَّذ دون أي تكلفة إضافية.</w:t>
      </w:r>
    </w:p>
    <w:p>
      <w:pPr>
        <w:pStyle w:val="Heading2"/>
      </w:pPr>
      <w:bookmarkStart w:id="42" w:name="implementation-methodology-deliverables"/>
      <w:r>
        <w:t xml:space="preserve">5. Implementation Methodology &amp; Deliverables</w:t>
      </w:r>
      <w:bookmarkEnd w:id="42"/>
    </w:p>
    <w:p>
      <w:pPr>
        <w:pStyle w:val="Heading2"/>
      </w:pPr>
      <w:bookmarkStart w:id="43" w:name="منهجية-التنفيذ-والمخرجات"/>
      <w:r>
        <w:t xml:space="preserve">5. منهجية التنفيذ والمُخرجات</w:t>
      </w:r>
      <w:bookmarkEnd w:id="43"/>
    </w:p>
    <w:tbl>
      <w:tblPr>
        <w:tblStyle w:val="Table"/>
        <w:tblW w:type="pct" w:w="0.0"/>
        <w:tblLook w:firstRow="1"/>
      </w:tblPr>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Key deliverables</w:t>
            </w:r>
          </w:p>
        </w:tc>
        <w:tc>
          <w:tcPr>
            <w:tcBorders>
              <w:bottom w:val="single"/>
            </w:tcBorders>
            <w:vAlign w:val="bottom"/>
          </w:tcPr>
          <w:p>
            <w:pPr>
              <w:pStyle w:val="Compact"/>
              <w:jc w:val="left"/>
            </w:pPr>
            <w:r>
              <w:t xml:space="preserve">Timing</w:t>
            </w:r>
          </w:p>
        </w:tc>
      </w:tr>
      <w:tr>
        <w:tc>
          <w:p>
            <w:pPr>
              <w:pStyle w:val="Compact"/>
              <w:jc w:val="left"/>
            </w:pPr>
            <w:r>
              <w:t xml:space="preserve">Phase 1 · Discovery</w:t>
            </w:r>
          </w:p>
        </w:tc>
        <w:tc>
          <w:p>
            <w:pPr>
              <w:pStyle w:val="Compact"/>
              <w:jc w:val="left"/>
            </w:pPr>
            <w:r>
              <w:t xml:space="preserve">Process mapping, gap analysis, solution design document</w:t>
            </w:r>
          </w:p>
        </w:tc>
        <w:tc>
          <w:p>
            <w:pPr>
              <w:pStyle w:val="Compact"/>
              <w:jc w:val="left"/>
            </w:pPr>
            <w:r>
              <w:t xml:space="preserve">Week 1–2</w:t>
            </w:r>
          </w:p>
        </w:tc>
      </w:tr>
      <w:tr>
        <w:tc>
          <w:p>
            <w:pPr>
              <w:pStyle w:val="Compact"/>
              <w:jc w:val="left"/>
            </w:pPr>
            <w:r>
              <w:t xml:space="preserve">Phase 2 · Configuration</w:t>
            </w:r>
          </w:p>
        </w:tc>
        <w:tc>
          <w:p>
            <w:pPr>
              <w:pStyle w:val="Compact"/>
              <w:jc w:val="left"/>
            </w:pPr>
            <w:r>
              <w:t xml:space="preserve">System setup, chart of accounts, master data, security roles</w:t>
            </w:r>
          </w:p>
        </w:tc>
        <w:tc>
          <w:p>
            <w:pPr>
              <w:pStyle w:val="Compact"/>
              <w:jc w:val="left"/>
            </w:pPr>
            <w:r>
              <w:t xml:space="preserve">Week 2–4</w:t>
            </w:r>
          </w:p>
        </w:tc>
      </w:tr>
      <w:tr>
        <w:tc>
          <w:p>
            <w:pPr>
              <w:pStyle w:val="Compact"/>
              <w:jc w:val="left"/>
            </w:pPr>
            <w:r>
              <w:t xml:space="preserve">Phase 3 · Development</w:t>
            </w:r>
          </w:p>
        </w:tc>
        <w:tc>
          <w:p>
            <w:pPr>
              <w:pStyle w:val="Compact"/>
              <w:jc w:val="left"/>
            </w:pPr>
            <w:r>
              <w:t xml:space="preserve">Customisations, custom reports and integrations</w:t>
            </w:r>
          </w:p>
        </w:tc>
        <w:tc>
          <w:p>
            <w:pPr>
              <w:pStyle w:val="Compact"/>
              <w:jc w:val="left"/>
            </w:pPr>
            <w:r>
              <w:t xml:space="preserve">Week 4–5</w:t>
            </w:r>
          </w:p>
        </w:tc>
      </w:tr>
      <w:tr>
        <w:tc>
          <w:p>
            <w:pPr>
              <w:pStyle w:val="Compact"/>
              <w:jc w:val="left"/>
            </w:pPr>
            <w:r>
              <w:t xml:space="preserve">Phase 4 · Migration &amp; UAT</w:t>
            </w:r>
          </w:p>
        </w:tc>
        <w:tc>
          <w:p>
            <w:pPr>
              <w:pStyle w:val="Compact"/>
              <w:jc w:val="left"/>
            </w:pPr>
            <w:r>
              <w:t xml:space="preserve">Data migration, user acceptance testing, corrections</w:t>
            </w:r>
          </w:p>
        </w:tc>
        <w:tc>
          <w:p>
            <w:pPr>
              <w:pStyle w:val="Compact"/>
              <w:jc w:val="left"/>
            </w:pPr>
            <w:r>
              <w:t xml:space="preserve">Week 5–7</w:t>
            </w:r>
          </w:p>
        </w:tc>
      </w:tr>
      <w:tr>
        <w:tc>
          <w:p>
            <w:pPr>
              <w:pStyle w:val="Compact"/>
              <w:jc w:val="left"/>
            </w:pPr>
            <w:r>
              <w:t xml:space="preserve">Phase 5 · Training</w:t>
            </w:r>
          </w:p>
        </w:tc>
        <w:tc>
          <w:p>
            <w:pPr>
              <w:pStyle w:val="Compact"/>
              <w:jc w:val="left"/>
            </w:pPr>
            <w:r>
              <w:t xml:space="preserve">Role-based training and user manuals</w:t>
            </w:r>
          </w:p>
        </w:tc>
        <w:tc>
          <w:p>
            <w:pPr>
              <w:pStyle w:val="Compact"/>
              <w:jc w:val="left"/>
            </w:pPr>
            <w:r>
              <w:t xml:space="preserve">Week 7–8</w:t>
            </w:r>
          </w:p>
        </w:tc>
      </w:tr>
      <w:tr>
        <w:tc>
          <w:p>
            <w:pPr>
              <w:pStyle w:val="Compact"/>
              <w:jc w:val="left"/>
            </w:pPr>
            <w:r>
              <w:t xml:space="preserve">Phase 6 · Go-Live &amp; Hyper-care</w:t>
            </w:r>
          </w:p>
        </w:tc>
        <w:tc>
          <w:p>
            <w:pPr>
              <w:pStyle w:val="Compact"/>
              <w:jc w:val="left"/>
            </w:pPr>
            <w:r>
              <w:t xml:space="preserve">Cut-over, go-live and 30 days of intensive support</w:t>
            </w:r>
          </w:p>
        </w:tc>
        <w:tc>
          <w:p>
            <w:pPr>
              <w:pStyle w:val="Compact"/>
              <w:jc w:val="left"/>
            </w:pPr>
            <w:r>
              <w:t xml:space="preserve">Week 8</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المرحلة</w:t>
            </w:r>
          </w:p>
        </w:tc>
        <w:tc>
          <w:tcPr>
            <w:tcBorders>
              <w:bottom w:val="single"/>
            </w:tcBorders>
            <w:vAlign w:val="bottom"/>
          </w:tcPr>
          <w:p>
            <w:pPr>
              <w:pStyle w:val="Compact"/>
              <w:jc w:val="left"/>
            </w:pPr>
            <w:r>
              <w:t xml:space="preserve">المُخرجات الرئيسية</w:t>
            </w:r>
          </w:p>
        </w:tc>
        <w:tc>
          <w:tcPr>
            <w:tcBorders>
              <w:bottom w:val="single"/>
            </w:tcBorders>
            <w:vAlign w:val="bottom"/>
          </w:tcPr>
          <w:p>
            <w:pPr>
              <w:pStyle w:val="Compact"/>
              <w:jc w:val="left"/>
            </w:pPr>
            <w:r>
              <w:t xml:space="preserve">التوقيت</w:t>
            </w:r>
          </w:p>
        </w:tc>
      </w:tr>
      <w:tr>
        <w:tc>
          <w:p>
            <w:pPr>
              <w:pStyle w:val="Compact"/>
              <w:jc w:val="left"/>
            </w:pPr>
            <w:r>
              <w:t xml:space="preserve">المرحلة 1 · الاستكشاف</w:t>
            </w:r>
          </w:p>
        </w:tc>
        <w:tc>
          <w:p>
            <w:pPr>
              <w:pStyle w:val="Compact"/>
              <w:jc w:val="left"/>
            </w:pPr>
            <w:r>
              <w:t xml:space="preserve">رسم العمليات وتحليل الفجوات ووثيقة تصميم الحل</w:t>
            </w:r>
          </w:p>
        </w:tc>
        <w:tc>
          <w:p>
            <w:pPr>
              <w:pStyle w:val="Compact"/>
              <w:jc w:val="left"/>
            </w:pPr>
            <w:r>
              <w:t xml:space="preserve">الأسبوع 1–2</w:t>
            </w:r>
          </w:p>
        </w:tc>
      </w:tr>
      <w:tr>
        <w:tc>
          <w:p>
            <w:pPr>
              <w:pStyle w:val="Compact"/>
              <w:jc w:val="left"/>
            </w:pPr>
            <w:r>
              <w:t xml:space="preserve">المرحلة 2 · التهيئة</w:t>
            </w:r>
          </w:p>
        </w:tc>
        <w:tc>
          <w:p>
            <w:pPr>
              <w:pStyle w:val="Compact"/>
              <w:jc w:val="left"/>
            </w:pPr>
            <w:r>
              <w:t xml:space="preserve">إعداد النظام والدليل المحاسبي والبيانات الأساسية وصلاحيات المستخدمين</w:t>
            </w:r>
          </w:p>
        </w:tc>
        <w:tc>
          <w:p>
            <w:pPr>
              <w:pStyle w:val="Compact"/>
              <w:jc w:val="left"/>
            </w:pPr>
            <w:r>
              <w:t xml:space="preserve">الأسبوع 2–4</w:t>
            </w:r>
          </w:p>
        </w:tc>
      </w:tr>
      <w:tr>
        <w:tc>
          <w:p>
            <w:pPr>
              <w:pStyle w:val="Compact"/>
              <w:jc w:val="left"/>
            </w:pPr>
            <w:r>
              <w:t xml:space="preserve">المرحلة 3 · التطوير</w:t>
            </w:r>
          </w:p>
        </w:tc>
        <w:tc>
          <w:p>
            <w:pPr>
              <w:pStyle w:val="Compact"/>
              <w:jc w:val="left"/>
            </w:pPr>
            <w:r>
              <w:t xml:space="preserve">التخصيصات والتقارير المخصصة والتكاملات</w:t>
            </w:r>
          </w:p>
        </w:tc>
        <w:tc>
          <w:p>
            <w:pPr>
              <w:pStyle w:val="Compact"/>
              <w:jc w:val="left"/>
            </w:pPr>
            <w:r>
              <w:t xml:space="preserve">الأسبوع 4–5</w:t>
            </w:r>
          </w:p>
        </w:tc>
      </w:tr>
      <w:tr>
        <w:tc>
          <w:p>
            <w:pPr>
              <w:pStyle w:val="Compact"/>
              <w:jc w:val="left"/>
            </w:pPr>
            <w:r>
              <w:t xml:space="preserve">المرحلة 4 · الترحيل والاختبار</w:t>
            </w:r>
          </w:p>
        </w:tc>
        <w:tc>
          <w:p>
            <w:pPr>
              <w:pStyle w:val="Compact"/>
              <w:jc w:val="left"/>
            </w:pPr>
            <w:r>
              <w:t xml:space="preserve">ترحيل البيانات واختبار قبول المستخدم والتصحيحات</w:t>
            </w:r>
          </w:p>
        </w:tc>
        <w:tc>
          <w:p>
            <w:pPr>
              <w:pStyle w:val="Compact"/>
              <w:jc w:val="left"/>
            </w:pPr>
            <w:r>
              <w:t xml:space="preserve">الأسبوع 5–7</w:t>
            </w:r>
          </w:p>
        </w:tc>
      </w:tr>
      <w:tr>
        <w:tc>
          <w:p>
            <w:pPr>
              <w:pStyle w:val="Compact"/>
              <w:jc w:val="left"/>
            </w:pPr>
            <w:r>
              <w:t xml:space="preserve">المرحلة 5 · التدريب</w:t>
            </w:r>
          </w:p>
        </w:tc>
        <w:tc>
          <w:p>
            <w:pPr>
              <w:pStyle w:val="Compact"/>
              <w:jc w:val="left"/>
            </w:pPr>
            <w:r>
              <w:t xml:space="preserve">تدريب حسب الدور وأدلة المستخدمين</w:t>
            </w:r>
          </w:p>
        </w:tc>
        <w:tc>
          <w:p>
            <w:pPr>
              <w:pStyle w:val="Compact"/>
              <w:jc w:val="left"/>
            </w:pPr>
            <w:r>
              <w:t xml:space="preserve">الأسبوع 7–8</w:t>
            </w:r>
          </w:p>
        </w:tc>
      </w:tr>
      <w:tr>
        <w:tc>
          <w:p>
            <w:pPr>
              <w:pStyle w:val="Compact"/>
              <w:jc w:val="left"/>
            </w:pPr>
            <w:r>
              <w:t xml:space="preserve">المرحلة 6 · التشغيل والدعم المكثّف</w:t>
            </w:r>
          </w:p>
        </w:tc>
        <w:tc>
          <w:p>
            <w:pPr>
              <w:pStyle w:val="Compact"/>
              <w:jc w:val="left"/>
            </w:pPr>
            <w:r>
              <w:t xml:space="preserve">التحوّل والتشغيل الفعلي و30 يوماً من الدعم المكثّف</w:t>
            </w:r>
          </w:p>
        </w:tc>
        <w:tc>
          <w:p>
            <w:pPr>
              <w:pStyle w:val="Compact"/>
              <w:jc w:val="left"/>
            </w:pPr>
            <w:r>
              <w:t xml:space="preserve">الأسبوع 8</w:t>
            </w:r>
          </w:p>
        </w:tc>
      </w:tr>
    </w:tbl>
    <w:p>
      <w:pPr>
        <w:pStyle w:val="BodyText"/>
      </w:pPr>
      <w:r>
        <w:t xml:space="preserve">Each phase closes with a written</w:t>
      </w:r>
      <w:r>
        <w:t xml:space="preserve"> </w:t>
      </w:r>
      <w:r>
        <w:rPr>
          <w:b/>
        </w:rPr>
        <w:t xml:space="preserve">acceptance note</w:t>
      </w:r>
      <w:r>
        <w:t xml:space="preserve">. If the Client raises no written objection within</w:t>
      </w:r>
      <w:r>
        <w:t xml:space="preserve"> </w:t>
      </w:r>
      <w:r>
        <w:rPr>
          <w:b/>
        </w:rPr>
        <w:t xml:space="preserve">five (5) working days</w:t>
      </w:r>
      <w:r>
        <w:t xml:space="preserve"> </w:t>
      </w:r>
      <w:r>
        <w:t xml:space="preserve">of a deliverable being submitted, that deliverable is deemed accepted.</w:t>
      </w:r>
    </w:p>
    <w:p>
      <w:pPr>
        <w:pStyle w:val="BodyText"/>
      </w:pPr>
      <w:r>
        <w:t xml:space="preserve">تُختتم كل مرحلة بـ</w:t>
      </w:r>
      <w:r>
        <w:rPr>
          <w:b/>
        </w:rPr>
        <w:t xml:space="preserve">محضر قبول</w:t>
      </w:r>
      <w:r>
        <w:t xml:space="preserve"> </w:t>
      </w:r>
      <w:r>
        <w:t xml:space="preserve">مكتوب. وإذا لم يُبدِ العميل أي اعتراض خطي خلال</w:t>
      </w:r>
      <w:r>
        <w:t xml:space="preserve"> </w:t>
      </w:r>
      <w:r>
        <w:rPr>
          <w:b/>
        </w:rPr>
        <w:t xml:space="preserve">خمسة (5) أيام عمل</w:t>
      </w:r>
      <w:r>
        <w:t xml:space="preserve"> </w:t>
      </w:r>
      <w:r>
        <w:t xml:space="preserve">من تسليم المُخرَج، يُعتبر ذلك المُخرَج مقبولاً.</w:t>
      </w:r>
    </w:p>
    <w:p>
      <w:pPr>
        <w:pStyle w:val="Heading2"/>
      </w:pPr>
      <w:bookmarkStart w:id="44" w:name="duration-timeline-client-obligations"/>
      <w:r>
        <w:t xml:space="preserve">6. Duration, Timeline &amp; Client Obligations</w:t>
      </w:r>
      <w:bookmarkEnd w:id="44"/>
    </w:p>
    <w:p>
      <w:pPr>
        <w:pStyle w:val="Heading2"/>
      </w:pPr>
      <w:bookmarkStart w:id="45" w:name="المدة-والجدول-الزمني-والتزامات-العميل"/>
      <w:r>
        <w:t xml:space="preserve">6. المدة والجدول الزمني والتزامات العميل</w:t>
      </w:r>
      <w:bookmarkEnd w:id="45"/>
    </w:p>
    <w:p>
      <w:pPr>
        <w:pStyle w:val="Heading3"/>
      </w:pPr>
      <w:bookmarkStart w:id="46" w:name="duration"/>
      <w:r>
        <w:t xml:space="preserve">6.1 Duration</w:t>
      </w:r>
      <w:bookmarkEnd w:id="46"/>
    </w:p>
    <w:p>
      <w:pPr>
        <w:pStyle w:val="FirstParagraph"/>
      </w:pPr>
      <w:r>
        <w:t xml:space="preserve">The implementation period is approximately</w:t>
      </w:r>
      <w:r>
        <w:t xml:space="preserve"> </w:t>
      </w:r>
      <w:r>
        <w:rPr>
          <w:b/>
        </w:rPr>
        <w:t xml:space="preserve">7 to 8 weeks</w:t>
      </w:r>
      <w:r>
        <w:t xml:space="preserve"> </w:t>
      </w:r>
      <w:r>
        <w:t xml:space="preserve">from the kick-off date, being the later of (a) receipt of the first payment and (b) the Client nominating its project owner and providing access to the required data.</w:t>
      </w:r>
    </w:p>
    <w:p>
      <w:pPr>
        <w:pStyle w:val="Heading3"/>
      </w:pPr>
      <w:bookmarkStart w:id="47" w:name="client-obligations"/>
      <w:r>
        <w:t xml:space="preserve">6.2 Client obligations</w:t>
      </w:r>
      <w:bookmarkEnd w:id="47"/>
    </w:p>
    <w:p>
      <w:pPr>
        <w:numPr>
          <w:ilvl w:val="0"/>
          <w:numId w:val="1003"/>
        </w:numPr>
        <w:pStyle w:val="Compact"/>
      </w:pPr>
      <w:r>
        <w:t xml:space="preserve">Nominate a</w:t>
      </w:r>
      <w:r>
        <w:t xml:space="preserve"> </w:t>
      </w:r>
      <w:r>
        <w:rPr>
          <w:b/>
        </w:rPr>
        <w:t xml:space="preserve">single project owner</w:t>
      </w:r>
      <w:r>
        <w:t xml:space="preserve"> </w:t>
      </w:r>
      <w:r>
        <w:t xml:space="preserve">empowered to take decisions</w:t>
      </w:r>
    </w:p>
    <w:p>
      <w:pPr>
        <w:numPr>
          <w:ilvl w:val="0"/>
          <w:numId w:val="1003"/>
        </w:numPr>
        <w:pStyle w:val="Compact"/>
      </w:pPr>
      <w:r>
        <w:t xml:space="preserve">Make key users available for workshops, testing and training</w:t>
      </w:r>
    </w:p>
    <w:p>
      <w:pPr>
        <w:numPr>
          <w:ilvl w:val="0"/>
          <w:numId w:val="1003"/>
        </w:numPr>
        <w:pStyle w:val="Compact"/>
      </w:pPr>
      <w:r>
        <w:t xml:space="preserve">Provide legacy data in a readable electronic format</w:t>
      </w:r>
    </w:p>
    <w:p>
      <w:pPr>
        <w:numPr>
          <w:ilvl w:val="0"/>
          <w:numId w:val="1003"/>
        </w:numPr>
        <w:pStyle w:val="Compact"/>
      </w:pPr>
      <w:r>
        <w:t xml:space="preserve">Provide the chart of accounts and opening balances signed by its accountant</w:t>
      </w:r>
    </w:p>
    <w:p>
      <w:pPr>
        <w:numPr>
          <w:ilvl w:val="0"/>
          <w:numId w:val="1003"/>
        </w:numPr>
        <w:pStyle w:val="Compact"/>
      </w:pPr>
      <w:r>
        <w:t xml:space="preserve">Review and sign phase acceptance notes within five (5) working days</w:t>
      </w:r>
    </w:p>
    <w:p>
      <w:pPr>
        <w:numPr>
          <w:ilvl w:val="0"/>
          <w:numId w:val="1003"/>
        </w:numPr>
        <w:pStyle w:val="Compact"/>
      </w:pPr>
      <w:r>
        <w:t xml:space="preserve">Procure the hosting subscription and any third-party licences (§7)</w:t>
      </w:r>
    </w:p>
    <w:p>
      <w:pPr>
        <w:pStyle w:val="FirstParagraph"/>
      </w:pPr>
      <w:r>
        <w:t xml:space="preserve">Delays caused by the Client extend the timeline day-for-day and do not affect the payment schedule.</w:t>
      </w:r>
    </w:p>
    <w:p>
      <w:pPr>
        <w:pStyle w:val="Heading3"/>
      </w:pPr>
      <w:bookmarkStart w:id="48" w:name="المدة"/>
      <w:r>
        <w:t xml:space="preserve">6.1 المدة</w:t>
      </w:r>
      <w:bookmarkEnd w:id="48"/>
    </w:p>
    <w:p>
      <w:pPr>
        <w:pStyle w:val="FirstParagraph"/>
      </w:pPr>
      <w:r>
        <w:t xml:space="preserve">تبلغ فترة التنفيذ نحو</w:t>
      </w:r>
      <w:r>
        <w:t xml:space="preserve"> </w:t>
      </w:r>
      <w:r>
        <w:rPr>
          <w:b/>
        </w:rPr>
        <w:t xml:space="preserve">7 إلى 8 أسابيع</w:t>
      </w:r>
      <w:r>
        <w:t xml:space="preserve"> </w:t>
      </w:r>
      <w:r>
        <w:t xml:space="preserve">من تاريخ انطلاق المشروع، وهو الأحدث بين (أ) استلام الدفعة الأولى و(ب) تسمية العميل لمسؤول المشروع وإتاحة البيانات المطلوبة.</w:t>
      </w:r>
    </w:p>
    <w:p>
      <w:pPr>
        <w:pStyle w:val="Heading3"/>
      </w:pPr>
      <w:bookmarkStart w:id="49" w:name="التزامات-العميل"/>
      <w:r>
        <w:t xml:space="preserve">6.2 التزامات العميل</w:t>
      </w:r>
      <w:bookmarkEnd w:id="49"/>
    </w:p>
    <w:p>
      <w:pPr>
        <w:numPr>
          <w:ilvl w:val="0"/>
          <w:numId w:val="1004"/>
        </w:numPr>
        <w:pStyle w:val="Compact"/>
      </w:pPr>
      <w:r>
        <w:t xml:space="preserve">تسمية</w:t>
      </w:r>
      <w:r>
        <w:t xml:space="preserve"> </w:t>
      </w:r>
      <w:r>
        <w:rPr>
          <w:b/>
        </w:rPr>
        <w:t xml:space="preserve">مسؤول مشروع واحد</w:t>
      </w:r>
      <w:r>
        <w:t xml:space="preserve"> </w:t>
      </w:r>
      <w:r>
        <w:t xml:space="preserve">مخوّل باتخاذ القرارات</w:t>
      </w:r>
    </w:p>
    <w:p>
      <w:pPr>
        <w:numPr>
          <w:ilvl w:val="0"/>
          <w:numId w:val="1004"/>
        </w:numPr>
        <w:pStyle w:val="Compact"/>
      </w:pPr>
      <w:r>
        <w:t xml:space="preserve">إتاحة المستخدمين الرئيسيين لورش العمل والاختبار والتدريب</w:t>
      </w:r>
    </w:p>
    <w:p>
      <w:pPr>
        <w:numPr>
          <w:ilvl w:val="0"/>
          <w:numId w:val="1004"/>
        </w:numPr>
        <w:pStyle w:val="Compact"/>
      </w:pPr>
      <w:r>
        <w:t xml:space="preserve">تزويد بيانات النظام القديم بصيغة إلكترونية قابلة للقراءة</w:t>
      </w:r>
    </w:p>
    <w:p>
      <w:pPr>
        <w:numPr>
          <w:ilvl w:val="0"/>
          <w:numId w:val="1004"/>
        </w:numPr>
        <w:pStyle w:val="Compact"/>
      </w:pPr>
      <w:r>
        <w:t xml:space="preserve">تزويد الدليل المحاسبي والأرصدة الافتتاحية معتمدة من محاسبه</w:t>
      </w:r>
    </w:p>
    <w:p>
      <w:pPr>
        <w:numPr>
          <w:ilvl w:val="0"/>
          <w:numId w:val="1004"/>
        </w:numPr>
        <w:pStyle w:val="Compact"/>
      </w:pPr>
      <w:r>
        <w:t xml:space="preserve">مراجعة وتوقيع محاضر قبول المراحل خلال خمسة (5) أيام عمل</w:t>
      </w:r>
    </w:p>
    <w:p>
      <w:pPr>
        <w:numPr>
          <w:ilvl w:val="0"/>
          <w:numId w:val="1004"/>
        </w:numPr>
        <w:pStyle w:val="Compact"/>
      </w:pPr>
      <w:r>
        <w:t xml:space="preserve">توفير اشتراك الاستضافة وأي تراخيص طرف ثالث (البند 7)</w:t>
      </w:r>
    </w:p>
    <w:p>
      <w:pPr>
        <w:pStyle w:val="FirstParagraph"/>
      </w:pPr>
      <w:r>
        <w:t xml:space="preserve">أي تأخير ناتج عن العميل يمدّد الجدول الزمني يوماً بيوم ولا يؤثر على جدول السداد.</w:t>
      </w:r>
    </w:p>
    <w:p>
      <w:pPr>
        <w:pStyle w:val="Heading2"/>
      </w:pPr>
      <w:bookmarkStart w:id="50" w:name="hosting-licences-data-ownership"/>
      <w:r>
        <w:t xml:space="preserve">7. Hosting, Licences &amp; Data Ownership</w:t>
      </w:r>
      <w:bookmarkEnd w:id="50"/>
    </w:p>
    <w:p>
      <w:pPr>
        <w:pStyle w:val="Heading2"/>
      </w:pPr>
      <w:bookmarkStart w:id="51" w:name="الاستضافة-والتراخيص-وملكية-البيانات"/>
      <w:r>
        <w:t xml:space="preserve">7. الاستضافة والتراخيص وملكية البيانات</w:t>
      </w:r>
      <w:bookmarkEnd w:id="51"/>
    </w:p>
    <w:p>
      <w:pPr>
        <w:pStyle w:val="Heading3"/>
      </w:pPr>
      <w:bookmarkStart w:id="52" w:name="hosting"/>
      <w:r>
        <w:t xml:space="preserve">7.1 Hosting</w:t>
      </w:r>
      <w:bookmarkEnd w:id="52"/>
    </w:p>
    <w:p>
      <w:pPr>
        <w:pStyle w:val="FirstParagraph"/>
      </w:pPr>
      <w:r>
        <w:t xml:space="preserve">Cloud hosting is recommended — no upfront hardware, automated backups, access from anywhere, easy scaling and managed security.</w:t>
      </w:r>
    </w:p>
    <w:p>
      <w:pPr>
        <w:numPr>
          <w:ilvl w:val="0"/>
          <w:numId w:val="1005"/>
        </w:numPr>
        <w:pStyle w:val="Compact"/>
      </w:pPr>
      <w:r>
        <w:rPr>
          <w:b/>
        </w:rPr>
        <w:t xml:space="preserve">Odoo.sh</w:t>
      </w:r>
      <w:r>
        <w:t xml:space="preserve"> </w:t>
      </w:r>
      <w:r>
        <w:t xml:space="preserve">— the official managed platform (recommended)</w:t>
      </w:r>
    </w:p>
    <w:p>
      <w:pPr>
        <w:numPr>
          <w:ilvl w:val="0"/>
          <w:numId w:val="1005"/>
        </w:numPr>
        <w:pStyle w:val="Compact"/>
      </w:pPr>
      <w:r>
        <w:rPr>
          <w:b/>
        </w:rPr>
        <w:t xml:space="preserve">Hetzner</w:t>
      </w:r>
      <w:r>
        <w:t xml:space="preserve"> </w:t>
      </w:r>
      <w:r>
        <w:t xml:space="preserve">— excellent price-to-performance (self-managed)</w:t>
      </w:r>
    </w:p>
    <w:p>
      <w:pPr>
        <w:numPr>
          <w:ilvl w:val="0"/>
          <w:numId w:val="1005"/>
        </w:numPr>
        <w:pStyle w:val="Compact"/>
      </w:pPr>
      <w:r>
        <w:rPr>
          <w:b/>
        </w:rPr>
        <w:t xml:space="preserve">DigitalOcean / AWS</w:t>
      </w:r>
      <w:r>
        <w:t xml:space="preserve"> </w:t>
      </w:r>
      <w:r>
        <w:t xml:space="preserve">— reliable global cloud (self-managed)</w:t>
      </w:r>
    </w:p>
    <w:p>
      <w:pPr>
        <w:numPr>
          <w:ilvl w:val="0"/>
          <w:numId w:val="1005"/>
        </w:numPr>
        <w:pStyle w:val="Compact"/>
      </w:pPr>
      <w:r>
        <w:rPr>
          <w:b/>
        </w:rPr>
        <w:t xml:space="preserve">On-premise</w:t>
      </w:r>
      <w:r>
        <w:t xml:space="preserve"> </w:t>
      </w:r>
      <w:r>
        <w:t xml:space="preserve">— supported where required by policy</w:t>
      </w:r>
    </w:p>
    <w:p>
      <w:pPr>
        <w:pStyle w:val="Heading3"/>
      </w:pPr>
      <w:bookmarkStart w:id="53" w:name="licences"/>
      <w:r>
        <w:t xml:space="preserve">7.2 Licences</w:t>
      </w:r>
      <w:bookmarkEnd w:id="53"/>
    </w:p>
    <w:p>
      <w:pPr>
        <w:pStyle w:val="FirstParagraph"/>
      </w:pPr>
      <w:r>
        <w:t xml:space="preserve">Hosting fees and any Odoo Enterprise or third-party licences are paid by the Client directly to the relevant provider,</w:t>
      </w:r>
      <w:r>
        <w:t xml:space="preserve"> </w:t>
      </w:r>
      <w:r>
        <w:rPr>
          <w:b/>
        </w:rPr>
        <w:t xml:space="preserve">separately from the contract value</w:t>
      </w:r>
      <w:r>
        <w:t xml:space="preserve">. Dexor will procure them on the Client’s behalf at cost if requested.</w:t>
      </w:r>
    </w:p>
    <w:p>
      <w:pPr>
        <w:pStyle w:val="Heading3"/>
      </w:pPr>
      <w:bookmarkStart w:id="54" w:name="data-ownership"/>
      <w:r>
        <w:t xml:space="preserve">7.3 Data ownership</w:t>
      </w:r>
      <w:bookmarkEnd w:id="54"/>
    </w:p>
    <w:p>
      <w:pPr>
        <w:pStyle w:val="FirstParagraph"/>
      </w:pPr>
      <w:r>
        <w:t xml:space="preserve">All data entered into the system is and remains the</w:t>
      </w:r>
      <w:r>
        <w:t xml:space="preserve"> </w:t>
      </w:r>
      <w:r>
        <w:rPr>
          <w:b/>
        </w:rPr>
        <w:t xml:space="preserve">exclusive property of the Client</w:t>
      </w:r>
      <w:r>
        <w:t xml:space="preserve">. On request, and on settlement of undisputed due amounts, Dexor shall provide a complete database backup in a standard, restorable format.</w:t>
      </w:r>
    </w:p>
    <w:p>
      <w:pPr>
        <w:pStyle w:val="Heading3"/>
      </w:pPr>
      <w:bookmarkStart w:id="55" w:name="الاستضافة"/>
      <w:r>
        <w:t xml:space="preserve">7.1 الاستضافة</w:t>
      </w:r>
      <w:bookmarkEnd w:id="55"/>
    </w:p>
    <w:p>
      <w:pPr>
        <w:pStyle w:val="FirstParagraph"/>
      </w:pPr>
      <w:r>
        <w:t xml:space="preserve">يُوصى بالاستضافة السحابية — دون استثمار مسبق في الأجهزة، مع نسخ احتياطي تلقائي ووصول من أي مكان وسهولة توسّع وأمان مُدار.</w:t>
      </w:r>
    </w:p>
    <w:p>
      <w:pPr>
        <w:numPr>
          <w:ilvl w:val="0"/>
          <w:numId w:val="1006"/>
        </w:numPr>
        <w:pStyle w:val="Compact"/>
      </w:pPr>
      <w:r>
        <w:rPr>
          <w:b/>
        </w:rPr>
        <w:t xml:space="preserve">Odoo.sh</w:t>
      </w:r>
      <w:r>
        <w:t xml:space="preserve"> </w:t>
      </w:r>
      <w:r>
        <w:t xml:space="preserve">— المنصة الرسمية المُدارة (موصى بها)</w:t>
      </w:r>
    </w:p>
    <w:p>
      <w:pPr>
        <w:numPr>
          <w:ilvl w:val="0"/>
          <w:numId w:val="1006"/>
        </w:numPr>
        <w:pStyle w:val="Compact"/>
      </w:pPr>
      <w:r>
        <w:rPr>
          <w:b/>
        </w:rPr>
        <w:t xml:space="preserve">Hetzner</w:t>
      </w:r>
      <w:r>
        <w:t xml:space="preserve"> </w:t>
      </w:r>
      <w:r>
        <w:t xml:space="preserve">— قيمة ممتازة مقابل الأداء (إدارة ذاتية)</w:t>
      </w:r>
    </w:p>
    <w:p>
      <w:pPr>
        <w:numPr>
          <w:ilvl w:val="0"/>
          <w:numId w:val="1006"/>
        </w:numPr>
        <w:pStyle w:val="Compact"/>
      </w:pPr>
      <w:r>
        <w:rPr>
          <w:b/>
        </w:rPr>
        <w:t xml:space="preserve">DigitalOcean / AWS</w:t>
      </w:r>
      <w:r>
        <w:t xml:space="preserve"> </w:t>
      </w:r>
      <w:r>
        <w:t xml:space="preserve">— سحابة عالمية موثوقة (إدارة ذاتية)</w:t>
      </w:r>
    </w:p>
    <w:p>
      <w:pPr>
        <w:numPr>
          <w:ilvl w:val="0"/>
          <w:numId w:val="1006"/>
        </w:numPr>
        <w:pStyle w:val="Compact"/>
      </w:pPr>
      <w:r>
        <w:rPr>
          <w:b/>
        </w:rPr>
        <w:t xml:space="preserve">استضافة داخلية</w:t>
      </w:r>
      <w:r>
        <w:t xml:space="preserve"> </w:t>
      </w:r>
      <w:r>
        <w:t xml:space="preserve">— مدعومة عند اقتضاء السياسات ذلك</w:t>
      </w:r>
    </w:p>
    <w:p>
      <w:pPr>
        <w:pStyle w:val="Heading3"/>
      </w:pPr>
      <w:bookmarkStart w:id="56" w:name="التراخيص"/>
      <w:r>
        <w:t xml:space="preserve">7.2 التراخيص</w:t>
      </w:r>
      <w:bookmarkEnd w:id="56"/>
    </w:p>
    <w:p>
      <w:pPr>
        <w:pStyle w:val="FirstParagraph"/>
      </w:pPr>
      <w:r>
        <w:t xml:space="preserve">تُدفع رسوم الاستضافة وأي تراخيص Odoo Enterprise أو تراخيص طرف ثالث من العميل مباشرةً للمزوّد المعني،</w:t>
      </w:r>
      <w:r>
        <w:t xml:space="preserve"> </w:t>
      </w:r>
      <w:r>
        <w:rPr>
          <w:b/>
        </w:rPr>
        <w:t xml:space="preserve">بشكل منفصل عن قيمة العقد</w:t>
      </w:r>
      <w:r>
        <w:t xml:space="preserve">. وتتولى ديكسور شراءها نيابةً عن العميل بسعر التكلفة عند الطلب.</w:t>
      </w:r>
    </w:p>
    <w:p>
      <w:pPr>
        <w:pStyle w:val="Heading3"/>
      </w:pPr>
      <w:bookmarkStart w:id="57" w:name="ملكية-البيانات"/>
      <w:r>
        <w:t xml:space="preserve">7.3 ملكية البيانات</w:t>
      </w:r>
      <w:bookmarkEnd w:id="57"/>
    </w:p>
    <w:p>
      <w:pPr>
        <w:pStyle w:val="FirstParagraph"/>
      </w:pPr>
      <w:r>
        <w:t xml:space="preserve">جميع البيانات المُدخلة في النظام هي وتبقى</w:t>
      </w:r>
      <w:r>
        <w:t xml:space="preserve"> </w:t>
      </w:r>
      <w:r>
        <w:rPr>
          <w:b/>
        </w:rPr>
        <w:t xml:space="preserve">ملكاً خالصاً للعميل</w:t>
      </w:r>
      <w:r>
        <w:t xml:space="preserve">. وعند الطلب، وبعد سداد المبالغ المستحقة غير المتنازع عليها، تقوم ديكسور بتسليم نسخة احتياطية كاملة من قاعدة البيانات بصيغة قياسية قابلة للاستعادة.</w:t>
      </w:r>
    </w:p>
    <w:p>
      <w:pPr>
        <w:pStyle w:val="Heading2"/>
      </w:pPr>
      <w:bookmarkStart w:id="58" w:name="commercial-terms"/>
      <w:r>
        <w:t xml:space="preserve">8. Commercial Terms</w:t>
      </w:r>
      <w:bookmarkEnd w:id="58"/>
    </w:p>
    <w:p>
      <w:pPr>
        <w:pStyle w:val="Heading2"/>
      </w:pPr>
      <w:bookmarkStart w:id="59" w:name="الشروط-التجارية"/>
      <w:r>
        <w:t xml:space="preserve">8. الشروط التجارية</w:t>
      </w:r>
      <w:bookmarkEnd w:id="59"/>
    </w:p>
    <w:p>
      <w:pPr>
        <w:pStyle w:val="FirstParagraph"/>
      </w:pPr>
      <w:r>
        <w:rPr>
          <w:b/>
        </w:rPr>
        <w:t xml:space="preserve">Net Contract Value: 1,000.000 KWD</w:t>
      </w:r>
      <w:r>
        <w:t xml:space="preserve"> </w:t>
      </w:r>
      <w:r>
        <w:rPr>
          <w:i/>
        </w:rPr>
        <w:t xml:space="preserve">(List price 1,500.000 KWD)</w:t>
      </w:r>
      <w:r>
        <w:br/>
      </w:r>
      <w:r>
        <w:rPr>
          <w:b/>
        </w:rPr>
        <w:t xml:space="preserve">Special discount applied</w:t>
      </w:r>
      <w:r>
        <w:t xml:space="preserve"> </w:t>
      </w:r>
      <w:r>
        <w:t xml:space="preserve">(saving 500.000 KWD). Covers up to</w:t>
      </w:r>
      <w:r>
        <w:t xml:space="preserve"> </w:t>
      </w:r>
      <w:r>
        <w:rPr>
          <w:b/>
        </w:rPr>
        <w:t xml:space="preserve">7 named users</w:t>
      </w:r>
      <w:r>
        <w:t xml:space="preserve"> </w:t>
      </w:r>
      <w:r>
        <w:t xml:space="preserve">and the modules confirmed in Annex A. Prices exclude hosting and third-party licences.</w:t>
      </w:r>
    </w:p>
    <w:p>
      <w:pPr>
        <w:pStyle w:val="BodyText"/>
      </w:pPr>
      <w:r>
        <w:rPr>
          <w:b/>
        </w:rPr>
        <w:t xml:space="preserve">صافي قيمة العقد: 1,000.000 د.ك</w:t>
      </w:r>
      <w:r>
        <w:t xml:space="preserve"> </w:t>
      </w:r>
      <w:r>
        <w:rPr>
          <w:i/>
        </w:rPr>
        <w:t xml:space="preserve">(السعر المعلن 1,500.000 د.ك)</w:t>
      </w:r>
      <w:r>
        <w:br/>
      </w:r>
      <w:r>
        <w:rPr>
          <w:b/>
        </w:rPr>
        <w:t xml:space="preserve">تم تطبيق خصم خاص</w:t>
      </w:r>
      <w:r>
        <w:t xml:space="preserve"> </w:t>
      </w:r>
      <w:r>
        <w:t xml:space="preserve">(توفير 500.000 د.ك). تشمل حتى</w:t>
      </w:r>
      <w:r>
        <w:t xml:space="preserve"> </w:t>
      </w:r>
      <w:r>
        <w:rPr>
          <w:b/>
        </w:rPr>
        <w:t xml:space="preserve">7 مستخدماً مسمّى</w:t>
      </w:r>
      <w:r>
        <w:t xml:space="preserve"> </w:t>
      </w:r>
      <w:r>
        <w:t xml:space="preserve">والوحدات المؤكدة في الملحق (أ). لا تشمل الأسعار الاستضافة وتراخيص الطرف الثالث.</w:t>
      </w:r>
    </w:p>
    <w:tbl>
      <w:tblPr>
        <w:tblStyle w:val="Table"/>
        <w:tblW w:type="pct" w:w="0.0"/>
        <w:tblLook w:firstRow="1"/>
      </w:tblPr>
      <w:tblGrid/>
      <w:tr>
        <w:trPr>
          <w:cnfStyle w:firstRow="1"/>
        </w:trPr>
        <w:tc>
          <w:tcPr>
            <w:tcBorders>
              <w:bottom w:val="single"/>
            </w:tcBorders>
            <w:vAlign w:val="bottom"/>
          </w:tcPr>
          <w:p>
            <w:pPr>
              <w:pStyle w:val="Compact"/>
              <w:jc w:val="left"/>
            </w:pPr>
            <w:r>
              <w:t xml:space="preserve">Milestone</w:t>
            </w:r>
          </w:p>
        </w:tc>
        <w:tc>
          <w:tcPr>
            <w:tcBorders>
              <w:bottom w:val="single"/>
            </w:tcBorders>
            <w:vAlign w:val="bottom"/>
          </w:tcPr>
          <w:p>
            <w:pPr>
              <w:pStyle w:val="Compact"/>
              <w:jc w:val="left"/>
            </w:pPr>
            <w:r>
              <w:t xml:space="preserve">Share</w:t>
            </w:r>
          </w:p>
        </w:tc>
        <w:tc>
          <w:tcPr>
            <w:tcBorders>
              <w:bottom w:val="single"/>
            </w:tcBorders>
            <w:vAlign w:val="bottom"/>
          </w:tcPr>
          <w:p>
            <w:pPr>
              <w:pStyle w:val="Compact"/>
              <w:jc w:val="left"/>
            </w:pPr>
            <w:r>
              <w:t xml:space="preserve">Amount (KWD)</w:t>
            </w:r>
          </w:p>
        </w:tc>
      </w:tr>
      <w:tr>
        <w:tc>
          <w:p>
            <w:pPr>
              <w:pStyle w:val="Compact"/>
              <w:jc w:val="left"/>
            </w:pPr>
            <w:r>
              <w:t xml:space="preserve">1 · On signing of this Agreement (down payment)</w:t>
            </w:r>
          </w:p>
        </w:tc>
        <w:tc>
          <w:p>
            <w:pPr>
              <w:pStyle w:val="Compact"/>
              <w:jc w:val="left"/>
            </w:pPr>
            <w:r>
              <w:t xml:space="preserve">40%</w:t>
            </w:r>
          </w:p>
        </w:tc>
        <w:tc>
          <w:p>
            <w:pPr>
              <w:pStyle w:val="Compact"/>
              <w:jc w:val="left"/>
            </w:pPr>
            <w:r>
              <w:rPr>
                <w:b/>
              </w:rPr>
              <w:t xml:space="preserve">400.000</w:t>
            </w:r>
          </w:p>
        </w:tc>
      </w:tr>
      <w:tr>
        <w:tc>
          <w:p>
            <w:pPr>
              <w:pStyle w:val="Compact"/>
              <w:jc w:val="left"/>
            </w:pPr>
            <w:r>
              <w:t xml:space="preserve">2 · Configuration &amp; development completed</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3 · Data migration, UAT &amp; training completed</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Total (net)</w:t>
            </w:r>
          </w:p>
        </w:tc>
        <w:tc>
          <w:p>
            <w:pPr>
              <w:pStyle w:val="Compact"/>
              <w:jc w:val="left"/>
            </w:pPr>
            <w:r>
              <w:t xml:space="preserve">100%</w:t>
            </w:r>
          </w:p>
        </w:tc>
        <w:tc>
          <w:p>
            <w:pPr>
              <w:pStyle w:val="Compact"/>
              <w:jc w:val="left"/>
            </w:pPr>
            <w:r>
              <w:t xml:space="preserve">1,000.000</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المرحلة</w:t>
            </w:r>
          </w:p>
        </w:tc>
        <w:tc>
          <w:tcPr>
            <w:tcBorders>
              <w:bottom w:val="single"/>
            </w:tcBorders>
            <w:vAlign w:val="bottom"/>
          </w:tcPr>
          <w:p>
            <w:pPr>
              <w:pStyle w:val="Compact"/>
              <w:jc w:val="left"/>
            </w:pPr>
            <w:r>
              <w:t xml:space="preserve">النسبة</w:t>
            </w:r>
          </w:p>
        </w:tc>
        <w:tc>
          <w:tcPr>
            <w:tcBorders>
              <w:bottom w:val="single"/>
            </w:tcBorders>
            <w:vAlign w:val="bottom"/>
          </w:tcPr>
          <w:p>
            <w:pPr>
              <w:pStyle w:val="Compact"/>
              <w:jc w:val="left"/>
            </w:pPr>
            <w:r>
              <w:t xml:space="preserve">المبلغ (د.ك)</w:t>
            </w:r>
          </w:p>
        </w:tc>
      </w:tr>
      <w:tr>
        <w:tc>
          <w:p>
            <w:pPr>
              <w:pStyle w:val="Compact"/>
              <w:jc w:val="left"/>
            </w:pPr>
            <w:r>
              <w:t xml:space="preserve">1 · عند توقيع هذه الاتفاقية (دفعة مقدمة)</w:t>
            </w:r>
          </w:p>
        </w:tc>
        <w:tc>
          <w:p>
            <w:pPr>
              <w:pStyle w:val="Compact"/>
              <w:jc w:val="left"/>
            </w:pPr>
            <w:r>
              <w:t xml:space="preserve">40%</w:t>
            </w:r>
          </w:p>
        </w:tc>
        <w:tc>
          <w:p>
            <w:pPr>
              <w:pStyle w:val="Compact"/>
              <w:jc w:val="left"/>
            </w:pPr>
            <w:r>
              <w:rPr>
                <w:b/>
              </w:rPr>
              <w:t xml:space="preserve">400.000</w:t>
            </w:r>
          </w:p>
        </w:tc>
      </w:tr>
      <w:tr>
        <w:tc>
          <w:p>
            <w:pPr>
              <w:pStyle w:val="Compact"/>
              <w:jc w:val="left"/>
            </w:pPr>
            <w:r>
              <w:t xml:space="preserve">2 · إكمال التهيئة والتطوير</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3 · إكمال ترحيل البيانات واختبار القبول والتدريب</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الإجمالي (الصافي)</w:t>
            </w:r>
          </w:p>
        </w:tc>
        <w:tc>
          <w:p>
            <w:pPr>
              <w:pStyle w:val="Compact"/>
              <w:jc w:val="left"/>
            </w:pPr>
            <w:r>
              <w:t xml:space="preserve">100%</w:t>
            </w:r>
          </w:p>
        </w:tc>
        <w:tc>
          <w:p>
            <w:pPr>
              <w:pStyle w:val="Compact"/>
              <w:jc w:val="left"/>
            </w:pPr>
            <w:r>
              <w:t xml:space="preserve">1,000.000</w:t>
            </w:r>
          </w:p>
        </w:tc>
      </w:tr>
    </w:tbl>
    <w:p>
      <w:pPr>
        <w:numPr>
          <w:ilvl w:val="0"/>
          <w:numId w:val="1007"/>
        </w:numPr>
        <w:pStyle w:val="Compact"/>
      </w:pPr>
      <w:r>
        <w:t xml:space="preserve">Each instalment is invoiced against a</w:t>
      </w:r>
      <w:r>
        <w:t xml:space="preserve"> </w:t>
      </w:r>
      <w:r>
        <w:rPr>
          <w:b/>
        </w:rPr>
        <w:t xml:space="preserve">delivered and accepted</w:t>
      </w:r>
      <w:r>
        <w:t xml:space="preserve"> </w:t>
      </w:r>
      <w:r>
        <w:t xml:space="preserve">milestone.</w:t>
      </w:r>
    </w:p>
    <w:p>
      <w:pPr>
        <w:numPr>
          <w:ilvl w:val="0"/>
          <w:numId w:val="1007"/>
        </w:numPr>
        <w:pStyle w:val="Compact"/>
      </w:pPr>
      <w:r>
        <w:t xml:space="preserve">Invoices are payable within</w:t>
      </w:r>
      <w:r>
        <w:t xml:space="preserve"> </w:t>
      </w:r>
      <w:r>
        <w:rPr>
          <w:b/>
        </w:rPr>
        <w:t xml:space="preserve">15 days</w:t>
      </w:r>
      <w:r>
        <w:t xml:space="preserve"> </w:t>
      </w:r>
      <w:r>
        <w:t xml:space="preserve">of issue.</w:t>
      </w:r>
    </w:p>
    <w:p>
      <w:pPr>
        <w:numPr>
          <w:ilvl w:val="0"/>
          <w:numId w:val="1007"/>
        </w:numPr>
        <w:pStyle w:val="Compact"/>
      </w:pPr>
      <w:r>
        <w:t xml:space="preserve">Out-of-scope development is quoted separately at</w:t>
      </w:r>
      <w:r>
        <w:t xml:space="preserve"> </w:t>
      </w:r>
      <w:r>
        <w:rPr>
          <w:b/>
        </w:rPr>
        <w:t xml:space="preserve">KWD 25.000 / hour</w:t>
      </w:r>
      <w:r>
        <w:t xml:space="preserve">.</w:t>
      </w:r>
    </w:p>
    <w:p>
      <w:pPr>
        <w:numPr>
          <w:ilvl w:val="0"/>
          <w:numId w:val="1008"/>
        </w:numPr>
        <w:pStyle w:val="Compact"/>
      </w:pPr>
      <w:r>
        <w:t xml:space="preserve">تُصدر فاتورة كل دفعة مقابل مرحلة</w:t>
      </w:r>
      <w:r>
        <w:t xml:space="preserve"> </w:t>
      </w:r>
      <w:r>
        <w:rPr>
          <w:b/>
        </w:rPr>
        <w:t xml:space="preserve">مُسلَّمة ومقبولة</w:t>
      </w:r>
      <w:r>
        <w:t xml:space="preserve">.</w:t>
      </w:r>
    </w:p>
    <w:p>
      <w:pPr>
        <w:numPr>
          <w:ilvl w:val="0"/>
          <w:numId w:val="1008"/>
        </w:numPr>
        <w:pStyle w:val="Compact"/>
      </w:pPr>
      <w:r>
        <w:t xml:space="preserve">تُسدَّد الفواتير خلال</w:t>
      </w:r>
      <w:r>
        <w:t xml:space="preserve"> </w:t>
      </w:r>
      <w:r>
        <w:rPr>
          <w:b/>
        </w:rPr>
        <w:t xml:space="preserve">15 يوماً</w:t>
      </w:r>
      <w:r>
        <w:t xml:space="preserve"> </w:t>
      </w:r>
      <w:r>
        <w:t xml:space="preserve">من تاريخ إصدارها.</w:t>
      </w:r>
    </w:p>
    <w:p>
      <w:pPr>
        <w:numPr>
          <w:ilvl w:val="0"/>
          <w:numId w:val="1008"/>
        </w:numPr>
        <w:pStyle w:val="Compact"/>
      </w:pPr>
      <w:r>
        <w:t xml:space="preserve">يُسعَّر أي تطوير خارج النطاق بشكل منفصل بواقع</w:t>
      </w:r>
      <w:r>
        <w:t xml:space="preserve"> </w:t>
      </w:r>
      <w:r>
        <w:rPr>
          <w:b/>
        </w:rPr>
        <w:t xml:space="preserve">25.000 د.ك / ساعة</w:t>
      </w:r>
      <w:r>
        <w:t xml:space="preserve">.</w:t>
      </w:r>
    </w:p>
    <w:p>
      <w:pPr>
        <w:pStyle w:val="Heading2"/>
      </w:pPr>
      <w:bookmarkStart w:id="60" w:name="support-warranty-annual-maintenance"/>
      <w:r>
        <w:t xml:space="preserve">9. Support, Warranty &amp; Annual Maintenance</w:t>
      </w:r>
      <w:bookmarkEnd w:id="60"/>
    </w:p>
    <w:p>
      <w:pPr>
        <w:pStyle w:val="Heading2"/>
      </w:pPr>
      <w:bookmarkStart w:id="61" w:name="الدعم-والضمان-والصيانة-السنوية"/>
      <w:r>
        <w:t xml:space="preserve">9. الدعم والضمان والصيانة السنوية</w:t>
      </w:r>
      <w:bookmarkEnd w:id="61"/>
    </w:p>
    <w:p>
      <w:pPr>
        <w:pStyle w:val="Heading3"/>
      </w:pPr>
      <w:bookmarkStart w:id="62" w:name="free-support-period"/>
      <w:r>
        <w:t xml:space="preserve">9.1 Free support period</w:t>
      </w:r>
      <w:bookmarkEnd w:id="62"/>
    </w:p>
    <w:p>
      <w:pPr>
        <w:pStyle w:val="FirstParagraph"/>
      </w:pPr>
      <w:r>
        <w:rPr>
          <w:b/>
        </w:rPr>
        <w:t xml:space="preserve">One (1) full year of free support</w:t>
      </w:r>
      <w:r>
        <w:t xml:space="preserve"> </w:t>
      </w:r>
      <w:r>
        <w:t xml:space="preserve">from the go-live date — bug fixing, user assistance, configuration adjustments and operational support.</w:t>
      </w:r>
    </w:p>
    <w:p>
      <w:pPr>
        <w:pStyle w:val="Heading3"/>
      </w:pPr>
      <w:bookmarkStart w:id="63" w:name="warranty"/>
      <w:r>
        <w:t xml:space="preserve">9.2 Warranty</w:t>
      </w:r>
      <w:bookmarkEnd w:id="63"/>
    </w:p>
    <w:p>
      <w:pPr>
        <w:pStyle w:val="FirstParagraph"/>
      </w:pPr>
      <w:r>
        <w:t xml:space="preserve">Dexor warrants that the delivered system conforms to the agreed scope. Any material defect reported during the free support period is corrected at no cost.</w:t>
      </w:r>
    </w:p>
    <w:p>
      <w:pPr>
        <w:pStyle w:val="Heading3"/>
      </w:pPr>
      <w:bookmarkStart w:id="64" w:name="response-targets"/>
      <w:r>
        <w:t xml:space="preserve">9.3 Response targets</w:t>
      </w:r>
      <w:bookmarkEnd w:id="64"/>
    </w:p>
    <w:p>
      <w:pPr>
        <w:pStyle w:val="Heading3"/>
      </w:pPr>
      <w:bookmarkStart w:id="65" w:name="فترة-الدعم-المجاني"/>
      <w:r>
        <w:t xml:space="preserve">9.1 فترة الدعم المجاني</w:t>
      </w:r>
      <w:bookmarkEnd w:id="65"/>
    </w:p>
    <w:p>
      <w:pPr>
        <w:pStyle w:val="FirstParagraph"/>
      </w:pPr>
      <w:r>
        <w:rPr>
          <w:b/>
        </w:rPr>
        <w:t xml:space="preserve">سنة كاملة (1) من الدعم المجاني</w:t>
      </w:r>
      <w:r>
        <w:t xml:space="preserve"> </w:t>
      </w:r>
      <w:r>
        <w:t xml:space="preserve">اعتباراً من تاريخ التشغيل الفعلي — إصلاح الأخطاء ومساعدة المستخدمين وتعديلات التهيئة والدعم التشغيلي.</w:t>
      </w:r>
    </w:p>
    <w:p>
      <w:pPr>
        <w:pStyle w:val="Heading3"/>
      </w:pPr>
      <w:bookmarkStart w:id="66" w:name="الضمان"/>
      <w:r>
        <w:t xml:space="preserve">9.2 الضمان</w:t>
      </w:r>
      <w:bookmarkEnd w:id="66"/>
    </w:p>
    <w:p>
      <w:pPr>
        <w:pStyle w:val="FirstParagraph"/>
      </w:pPr>
      <w:r>
        <w:t xml:space="preserve">تضمن ديكسور مطابقة النظام المُسلَّم للنطاق المتفق عليه. ويتم تصحيح أي عيب جوهري يُبلَّغ عنه خلال فترة الدعم المجاني دون أي تكلفة.</w:t>
      </w:r>
    </w:p>
    <w:p>
      <w:pPr>
        <w:pStyle w:val="Heading3"/>
      </w:pPr>
      <w:bookmarkStart w:id="67" w:name="أزمنة-الاستجابة-المستهدفة"/>
      <w:r>
        <w:t xml:space="preserve">9.3 أزمنة الاستجابة المستهدفة</w:t>
      </w:r>
      <w:bookmarkEnd w:id="67"/>
    </w:p>
    <w:tbl>
      <w:tblPr>
        <w:tblStyle w:val="Table"/>
        <w:tblW w:type="pct" w:w="0.0"/>
        <w:tblLook w:firstRow="1"/>
      </w:tblPr>
      <w:tblGrid/>
      <w:tr>
        <w:trPr>
          <w:cnfStyle w:firstRow="1"/>
        </w:trPr>
        <w:tc>
          <w:tcPr>
            <w:tcBorders>
              <w:bottom w:val="single"/>
            </w:tcBorders>
            <w:vAlign w:val="bottom"/>
          </w:tcPr>
          <w:p>
            <w:pPr>
              <w:pStyle w:val="Compact"/>
              <w:jc w:val="left"/>
            </w:pPr>
            <w:r>
              <w:t xml:space="preserve">Severity</w:t>
            </w:r>
          </w:p>
        </w:tc>
        <w:tc>
          <w:tcPr>
            <w:tcBorders>
              <w:bottom w:val="single"/>
            </w:tcBorders>
            <w:vAlign w:val="bottom"/>
          </w:tcPr>
          <w:p>
            <w:pPr>
              <w:pStyle w:val="Compact"/>
              <w:jc w:val="left"/>
            </w:pPr>
            <w:r>
              <w:t xml:space="preserve">Response</w:t>
            </w:r>
          </w:p>
        </w:tc>
        <w:tc>
          <w:tcPr>
            <w:tcBorders>
              <w:bottom w:val="single"/>
            </w:tcBorders>
            <w:vAlign w:val="bottom"/>
          </w:tcPr>
          <w:p>
            <w:pPr>
              <w:pStyle w:val="Compact"/>
              <w:jc w:val="left"/>
            </w:pPr>
            <w:r>
              <w:t xml:space="preserve">Resolution target</w:t>
            </w:r>
          </w:p>
        </w:tc>
      </w:tr>
      <w:tr>
        <w:tc>
          <w:p>
            <w:pPr>
              <w:pStyle w:val="Compact"/>
              <w:jc w:val="left"/>
            </w:pPr>
            <w:r>
              <w:t xml:space="preserve">Critical — system down</w:t>
            </w:r>
          </w:p>
        </w:tc>
        <w:tc>
          <w:p>
            <w:pPr>
              <w:pStyle w:val="Compact"/>
              <w:jc w:val="left"/>
            </w:pPr>
            <w:r>
              <w:t xml:space="preserve">2 working hours</w:t>
            </w:r>
          </w:p>
        </w:tc>
        <w:tc>
          <w:p>
            <w:pPr>
              <w:pStyle w:val="Compact"/>
              <w:jc w:val="left"/>
            </w:pPr>
            <w:r>
              <w:t xml:space="preserve">1 working day</w:t>
            </w:r>
          </w:p>
        </w:tc>
      </w:tr>
      <w:tr>
        <w:tc>
          <w:p>
            <w:pPr>
              <w:pStyle w:val="Compact"/>
              <w:jc w:val="left"/>
            </w:pPr>
            <w:r>
              <w:t xml:space="preserve">High — key process blocked</w:t>
            </w:r>
          </w:p>
        </w:tc>
        <w:tc>
          <w:p>
            <w:pPr>
              <w:pStyle w:val="Compact"/>
              <w:jc w:val="left"/>
            </w:pPr>
            <w:r>
              <w:t xml:space="preserve">4 working hours</w:t>
            </w:r>
          </w:p>
        </w:tc>
        <w:tc>
          <w:p>
            <w:pPr>
              <w:pStyle w:val="Compact"/>
              <w:jc w:val="left"/>
            </w:pPr>
            <w:r>
              <w:t xml:space="preserve">2 working days</w:t>
            </w:r>
          </w:p>
        </w:tc>
      </w:tr>
      <w:tr>
        <w:tc>
          <w:p>
            <w:pPr>
              <w:pStyle w:val="Compact"/>
              <w:jc w:val="left"/>
            </w:pPr>
            <w:r>
              <w:t xml:space="preserve">Normal — defect or question</w:t>
            </w:r>
          </w:p>
        </w:tc>
        <w:tc>
          <w:p>
            <w:pPr>
              <w:pStyle w:val="Compact"/>
              <w:jc w:val="left"/>
            </w:pPr>
            <w:r>
              <w:t xml:space="preserve">1 working day</w:t>
            </w:r>
          </w:p>
        </w:tc>
        <w:tc>
          <w:p>
            <w:pPr>
              <w:pStyle w:val="Compact"/>
              <w:jc w:val="left"/>
            </w:pPr>
            <w:r>
              <w:t xml:space="preserve">5 working days</w:t>
            </w:r>
          </w:p>
        </w:tc>
      </w:tr>
      <w:tr>
        <w:tc>
          <w:p>
            <w:pPr>
              <w:pStyle w:val="Compact"/>
              <w:jc w:val="left"/>
            </w:pPr>
            <w:r>
              <w:t xml:space="preserve">Enhancement request</w:t>
            </w:r>
          </w:p>
        </w:tc>
        <w:tc>
          <w:p>
            <w:pPr>
              <w:pStyle w:val="Compact"/>
              <w:jc w:val="left"/>
            </w:pPr>
            <w:r>
              <w:t xml:space="preserve">2 working days</w:t>
            </w:r>
          </w:p>
        </w:tc>
        <w:tc>
          <w:p>
            <w:pPr>
              <w:pStyle w:val="Compact"/>
              <w:jc w:val="left"/>
            </w:pPr>
            <w:r>
              <w:t xml:space="preserve">By agreement</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درجة الأولوية</w:t>
            </w:r>
          </w:p>
        </w:tc>
        <w:tc>
          <w:tcPr>
            <w:tcBorders>
              <w:bottom w:val="single"/>
            </w:tcBorders>
            <w:vAlign w:val="bottom"/>
          </w:tcPr>
          <w:p>
            <w:pPr>
              <w:pStyle w:val="Compact"/>
              <w:jc w:val="left"/>
            </w:pPr>
            <w:r>
              <w:t xml:space="preserve">الاستجابة</w:t>
            </w:r>
          </w:p>
        </w:tc>
        <w:tc>
          <w:tcPr>
            <w:tcBorders>
              <w:bottom w:val="single"/>
            </w:tcBorders>
            <w:vAlign w:val="bottom"/>
          </w:tcPr>
          <w:p>
            <w:pPr>
              <w:pStyle w:val="Compact"/>
              <w:jc w:val="left"/>
            </w:pPr>
            <w:r>
              <w:t xml:space="preserve">هدف المعالجة</w:t>
            </w:r>
          </w:p>
        </w:tc>
      </w:tr>
      <w:tr>
        <w:tc>
          <w:p>
            <w:pPr>
              <w:pStyle w:val="Compact"/>
              <w:jc w:val="left"/>
            </w:pPr>
            <w:r>
              <w:t xml:space="preserve">حرجة — توقف النظام</w:t>
            </w:r>
          </w:p>
        </w:tc>
        <w:tc>
          <w:p>
            <w:pPr>
              <w:pStyle w:val="Compact"/>
              <w:jc w:val="left"/>
            </w:pPr>
            <w:r>
              <w:t xml:space="preserve">ساعتان عمل</w:t>
            </w:r>
          </w:p>
        </w:tc>
        <w:tc>
          <w:p>
            <w:pPr>
              <w:pStyle w:val="Compact"/>
              <w:jc w:val="left"/>
            </w:pPr>
            <w:r>
              <w:t xml:space="preserve">يوم عمل واحد</w:t>
            </w:r>
          </w:p>
        </w:tc>
      </w:tr>
      <w:tr>
        <w:tc>
          <w:p>
            <w:pPr>
              <w:pStyle w:val="Compact"/>
              <w:jc w:val="left"/>
            </w:pPr>
            <w:r>
              <w:t xml:space="preserve">عالية — تعطّل عملية رئيسية</w:t>
            </w:r>
          </w:p>
        </w:tc>
        <w:tc>
          <w:p>
            <w:pPr>
              <w:pStyle w:val="Compact"/>
              <w:jc w:val="left"/>
            </w:pPr>
            <w:r>
              <w:t xml:space="preserve">4 ساعات عمل</w:t>
            </w:r>
          </w:p>
        </w:tc>
        <w:tc>
          <w:p>
            <w:pPr>
              <w:pStyle w:val="Compact"/>
              <w:jc w:val="left"/>
            </w:pPr>
            <w:r>
              <w:t xml:space="preserve">يوما عمل</w:t>
            </w:r>
          </w:p>
        </w:tc>
      </w:tr>
      <w:tr>
        <w:tc>
          <w:p>
            <w:pPr>
              <w:pStyle w:val="Compact"/>
              <w:jc w:val="left"/>
            </w:pPr>
            <w:r>
              <w:t xml:space="preserve">عادية — خلل أو استفسار</w:t>
            </w:r>
          </w:p>
        </w:tc>
        <w:tc>
          <w:p>
            <w:pPr>
              <w:pStyle w:val="Compact"/>
              <w:jc w:val="left"/>
            </w:pPr>
            <w:r>
              <w:t xml:space="preserve">يوم عمل واحد</w:t>
            </w:r>
          </w:p>
        </w:tc>
        <w:tc>
          <w:p>
            <w:pPr>
              <w:pStyle w:val="Compact"/>
              <w:jc w:val="left"/>
            </w:pPr>
            <w:r>
              <w:t xml:space="preserve">5 أيام عمل</w:t>
            </w:r>
          </w:p>
        </w:tc>
      </w:tr>
      <w:tr>
        <w:tc>
          <w:p>
            <w:pPr>
              <w:pStyle w:val="Compact"/>
              <w:jc w:val="left"/>
            </w:pPr>
            <w:r>
              <w:t xml:space="preserve">طلب تحسين</w:t>
            </w:r>
          </w:p>
        </w:tc>
        <w:tc>
          <w:p>
            <w:pPr>
              <w:pStyle w:val="Compact"/>
              <w:jc w:val="left"/>
            </w:pPr>
            <w:r>
              <w:t xml:space="preserve">يوما عمل</w:t>
            </w:r>
          </w:p>
        </w:tc>
        <w:tc>
          <w:p>
            <w:pPr>
              <w:pStyle w:val="Compact"/>
              <w:jc w:val="left"/>
            </w:pPr>
            <w:r>
              <w:t xml:space="preserve">بحسب الاتفاق</w:t>
            </w:r>
          </w:p>
        </w:tc>
      </w:tr>
    </w:tbl>
    <w:p>
      <w:pPr>
        <w:pStyle w:val="BodyText"/>
      </w:pPr>
      <w:r>
        <w:rPr>
          <w:b/>
        </w:rPr>
        <w:t xml:space="preserve">9.4 Annual Maintenance (AMC).</w:t>
      </w:r>
      <w:r>
        <w:t xml:space="preserve"> </w:t>
      </w:r>
      <w:r>
        <w:t xml:space="preserve">After the free support period, support may be renewed at</w:t>
      </w:r>
      <w:r>
        <w:t xml:space="preserve"> </w:t>
      </w:r>
      <w:r>
        <w:rPr>
          <w:b/>
        </w:rPr>
        <w:t xml:space="preserve">KWD 200.000 per year</w:t>
      </w:r>
      <w:r>
        <w:t xml:space="preserve"> </w:t>
      </w:r>
      <w:r>
        <w:t xml:space="preserve">(20% of the contract value), covering the same services plus version upgrades. Renewal is optional and at the Client’s discretion.</w:t>
      </w:r>
    </w:p>
    <w:p>
      <w:pPr>
        <w:pStyle w:val="BodyText"/>
      </w:pPr>
      <w:r>
        <w:rPr>
          <w:b/>
        </w:rPr>
        <w:t xml:space="preserve">9.4 الصيانة السنوية.</w:t>
      </w:r>
      <w:r>
        <w:t xml:space="preserve"> </w:t>
      </w:r>
      <w:r>
        <w:t xml:space="preserve">بعد فترة الدعم المجاني، يمكن تجديد الدعم بمبلغ</w:t>
      </w:r>
      <w:r>
        <w:t xml:space="preserve"> </w:t>
      </w:r>
      <w:r>
        <w:rPr>
          <w:b/>
        </w:rPr>
        <w:t xml:space="preserve">200.000 د.ك سنوياً</w:t>
      </w:r>
      <w:r>
        <w:t xml:space="preserve"> </w:t>
      </w:r>
      <w:r>
        <w:t xml:space="preserve">(20% من قيمة العقد)، ويشمل الخدمات ذاتها إضافةً إلى ترقيات الإصدارات. والتجديد اختياري ووفق تقدير العميل.</w:t>
      </w:r>
    </w:p>
    <w:p>
      <w:pPr>
        <w:pStyle w:val="Heading2"/>
      </w:pPr>
      <w:bookmarkStart w:id="68" w:name="general-terms-12"/>
      <w:r>
        <w:t xml:space="preserve">10. General Terms (1/2)</w:t>
      </w:r>
      <w:bookmarkEnd w:id="68"/>
    </w:p>
    <w:p>
      <w:pPr>
        <w:pStyle w:val="Heading2"/>
      </w:pPr>
      <w:bookmarkStart w:id="69" w:name="الشروط-العامة-12"/>
      <w:r>
        <w:t xml:space="preserve">10. الشروط العامة (1/2)</w:t>
      </w:r>
      <w:bookmarkEnd w:id="69"/>
    </w:p>
    <w:p>
      <w:pPr>
        <w:pStyle w:val="Heading3"/>
      </w:pPr>
      <w:bookmarkStart w:id="70" w:name="intellectual-property"/>
      <w:r>
        <w:t xml:space="preserve">10.1 Intellectual property</w:t>
      </w:r>
      <w:bookmarkEnd w:id="70"/>
    </w:p>
    <w:p>
      <w:pPr>
        <w:pStyle w:val="FirstParagraph"/>
      </w:pPr>
      <w:r>
        <w:t xml:space="preserve">Odoo is licensed under its own terms. Custom modules developed specifically for the Client under this Agreement are licensed to the Client on a perpetual, non-exclusive basis upon full payment. Dexor retains ownership of its pre-existing tools, libraries and generic know-how.</w:t>
      </w:r>
    </w:p>
    <w:p>
      <w:pPr>
        <w:pStyle w:val="Heading3"/>
      </w:pPr>
      <w:bookmarkStart w:id="71" w:name="confidentiality"/>
      <w:r>
        <w:t xml:space="preserve">10.2 Confidentiality</w:t>
      </w:r>
      <w:bookmarkEnd w:id="71"/>
    </w:p>
    <w:p>
      <w:pPr>
        <w:pStyle w:val="FirstParagraph"/>
      </w:pPr>
      <w:r>
        <w:t xml:space="preserve">Each Party shall keep the other’s commercial, technical and financial information strictly confidential, shall use it only for the purposes of this Agreement, and shall continue to do so for</w:t>
      </w:r>
      <w:r>
        <w:t xml:space="preserve"> </w:t>
      </w:r>
      <w:r>
        <w:rPr>
          <w:b/>
        </w:rPr>
        <w:t xml:space="preserve">three (3) years</w:t>
      </w:r>
      <w:r>
        <w:t xml:space="preserve"> </w:t>
      </w:r>
      <w:r>
        <w:t xml:space="preserve">after the Agreement ends.</w:t>
      </w:r>
    </w:p>
    <w:p>
      <w:pPr>
        <w:pStyle w:val="Heading3"/>
      </w:pPr>
      <w:bookmarkStart w:id="72" w:name="change-control"/>
      <w:r>
        <w:t xml:space="preserve">10.3 Change control</w:t>
      </w:r>
      <w:bookmarkEnd w:id="72"/>
    </w:p>
    <w:p>
      <w:pPr>
        <w:pStyle w:val="FirstParagraph"/>
      </w:pPr>
      <w:r>
        <w:t xml:space="preserve">Any addition to the scope is documented in a written</w:t>
      </w:r>
      <w:r>
        <w:t xml:space="preserve"> </w:t>
      </w:r>
      <w:r>
        <w:rPr>
          <w:b/>
        </w:rPr>
        <w:t xml:space="preserve">change request</w:t>
      </w:r>
      <w:r>
        <w:t xml:space="preserve"> </w:t>
      </w:r>
      <w:r>
        <w:t xml:space="preserve">stating the effect on cost and timeline, and takes effect only once signed by both Parties.</w:t>
      </w:r>
    </w:p>
    <w:p>
      <w:pPr>
        <w:pStyle w:val="Heading3"/>
      </w:pPr>
      <w:bookmarkStart w:id="73" w:name="non-solicitation"/>
      <w:r>
        <w:t xml:space="preserve">10.4 Non-solicitation</w:t>
      </w:r>
      <w:bookmarkEnd w:id="73"/>
    </w:p>
    <w:p>
      <w:pPr>
        <w:pStyle w:val="FirstParagraph"/>
      </w:pPr>
      <w:r>
        <w:t xml:space="preserve">Neither Party shall directly employ the other’s project personnel during the project and for twelve (12) months thereafter, without prior written consent.</w:t>
      </w:r>
    </w:p>
    <w:p>
      <w:pPr>
        <w:pStyle w:val="Heading3"/>
      </w:pPr>
      <w:bookmarkStart w:id="74" w:name="الملكية-الفكرية"/>
      <w:r>
        <w:t xml:space="preserve">10.1 الملكية الفكرية</w:t>
      </w:r>
      <w:bookmarkEnd w:id="74"/>
    </w:p>
    <w:p>
      <w:pPr>
        <w:pStyle w:val="FirstParagraph"/>
      </w:pPr>
      <w:r>
        <w:t xml:space="preserve">نظام Odoo مرخّص وفق شروطه الخاصة. أما الوحدات المخصصة المطوَّرة تحديداً للعميل بموجب هذه الاتفاقية فتُرخَّص له ترخيصاً دائماً وغير حصري عند سداد كامل المستحقات. وتحتفظ ديكسور بملكية أدواتها ومكتباتها ومعرفتها الفنية العامة السابقة.</w:t>
      </w:r>
    </w:p>
    <w:p>
      <w:pPr>
        <w:pStyle w:val="Heading3"/>
      </w:pPr>
      <w:bookmarkStart w:id="75" w:name="السرية"/>
      <w:r>
        <w:t xml:space="preserve">10.2 السرية</w:t>
      </w:r>
      <w:bookmarkEnd w:id="75"/>
    </w:p>
    <w:p>
      <w:pPr>
        <w:pStyle w:val="FirstParagraph"/>
      </w:pPr>
      <w:r>
        <w:t xml:space="preserve">يلتزم كل طرف بالحفاظ على سرية المعلومات التجارية والفنية والمالية للطرف الآخر، واستخدامها لأغراض هذه الاتفاقية فقط، ويستمر هذا الالتزام لمدة</w:t>
      </w:r>
      <w:r>
        <w:t xml:space="preserve"> </w:t>
      </w:r>
      <w:r>
        <w:rPr>
          <w:b/>
        </w:rPr>
        <w:t xml:space="preserve">ثلاث (3) سنوات</w:t>
      </w:r>
      <w:r>
        <w:t xml:space="preserve"> </w:t>
      </w:r>
      <w:r>
        <w:t xml:space="preserve">بعد انتهاء الاتفاقية.</w:t>
      </w:r>
    </w:p>
    <w:p>
      <w:pPr>
        <w:pStyle w:val="Heading3"/>
      </w:pPr>
      <w:bookmarkStart w:id="76" w:name="إدارة-التغيير"/>
      <w:r>
        <w:t xml:space="preserve">10.3 إدارة التغيير</w:t>
      </w:r>
      <w:bookmarkEnd w:id="76"/>
    </w:p>
    <w:p>
      <w:pPr>
        <w:pStyle w:val="FirstParagraph"/>
      </w:pPr>
      <w:r>
        <w:t xml:space="preserve">تُوثَّق أي إضافة على النطاق في</w:t>
      </w:r>
      <w:r>
        <w:t xml:space="preserve"> </w:t>
      </w:r>
      <w:r>
        <w:rPr>
          <w:b/>
        </w:rPr>
        <w:t xml:space="preserve">طلب تغيير</w:t>
      </w:r>
      <w:r>
        <w:t xml:space="preserve"> </w:t>
      </w:r>
      <w:r>
        <w:t xml:space="preserve">مكتوب يبيّن أثرها على التكلفة والجدول الزمني، ولا يسري إلا بعد توقيعه من الطرفين.</w:t>
      </w:r>
    </w:p>
    <w:p>
      <w:pPr>
        <w:pStyle w:val="Heading3"/>
      </w:pPr>
      <w:bookmarkStart w:id="77" w:name="عدم-استقطاب-الموظفين"/>
      <w:r>
        <w:t xml:space="preserve">10.4 عدم استقطاب الموظفين</w:t>
      </w:r>
      <w:bookmarkEnd w:id="77"/>
    </w:p>
    <w:p>
      <w:pPr>
        <w:pStyle w:val="FirstParagraph"/>
      </w:pPr>
      <w:r>
        <w:t xml:space="preserve">لا يجوز لأي طرف توظيف كوادر مشروع الطرف الآخر مباشرةً خلال المشروع ولمدة اثني عشر (12) شهراً بعده، دون موافقة خطية مسبقة.</w:t>
      </w:r>
    </w:p>
    <w:p>
      <w:pPr>
        <w:pStyle w:val="Heading2"/>
      </w:pPr>
      <w:bookmarkStart w:id="78" w:name="general-terms-22"/>
      <w:r>
        <w:t xml:space="preserve">11. General Terms (2/2)</w:t>
      </w:r>
      <w:bookmarkEnd w:id="78"/>
    </w:p>
    <w:p>
      <w:pPr>
        <w:pStyle w:val="Heading2"/>
      </w:pPr>
      <w:bookmarkStart w:id="79" w:name="الشروط-العامة-22"/>
      <w:r>
        <w:t xml:space="preserve">11. الشروط العامة (2/2)</w:t>
      </w:r>
      <w:bookmarkEnd w:id="79"/>
    </w:p>
    <w:p>
      <w:pPr>
        <w:pStyle w:val="Heading3"/>
      </w:pPr>
      <w:bookmarkStart w:id="80" w:name="limitation-of-liability"/>
      <w:r>
        <w:t xml:space="preserve">11.1 Limitation of liability</w:t>
      </w:r>
      <w:bookmarkEnd w:id="80"/>
    </w:p>
    <w:p>
      <w:pPr>
        <w:pStyle w:val="FirstParagraph"/>
      </w:pPr>
      <w:r>
        <w:t xml:space="preserve">Dexor’s aggregate liability under this Agreement shall not exceed the total amounts actually paid by the Client. Neither Party is liable for indirect or consequential loss, including loss of profit or data caused by factors outside its control.</w:t>
      </w:r>
    </w:p>
    <w:p>
      <w:pPr>
        <w:pStyle w:val="Heading3"/>
      </w:pPr>
      <w:bookmarkStart w:id="81" w:name="force-majeure"/>
      <w:r>
        <w:t xml:space="preserve">11.2 Force majeure</w:t>
      </w:r>
      <w:bookmarkEnd w:id="81"/>
    </w:p>
    <w:p>
      <w:pPr>
        <w:pStyle w:val="FirstParagraph"/>
      </w:pPr>
      <w:r>
        <w:t xml:space="preserve">Neither Party is in breach for delay caused by an event beyond its reasonable control. Obligations are suspended for the duration of the event.</w:t>
      </w:r>
    </w:p>
    <w:p>
      <w:pPr>
        <w:pStyle w:val="Heading3"/>
      </w:pPr>
      <w:bookmarkStart w:id="82" w:name="suspension-termination"/>
      <w:r>
        <w:t xml:space="preserve">11.3 Suspension &amp; termination</w:t>
      </w:r>
      <w:bookmarkEnd w:id="82"/>
    </w:p>
    <w:p>
      <w:pPr>
        <w:pStyle w:val="FirstParagraph"/>
      </w:pPr>
      <w:r>
        <w:t xml:space="preserve">Either Party may terminate for material breach not remedied within</w:t>
      </w:r>
      <w:r>
        <w:t xml:space="preserve"> </w:t>
      </w:r>
      <w:r>
        <w:rPr>
          <w:b/>
        </w:rPr>
        <w:t xml:space="preserve">thirty (30) days</w:t>
      </w:r>
      <w:r>
        <w:t xml:space="preserve"> </w:t>
      </w:r>
      <w:r>
        <w:t xml:space="preserve">of written notice. On termination, the Client pays for all work delivered up to that date and Dexor hands over the database and all completed deliverables.</w:t>
      </w:r>
    </w:p>
    <w:p>
      <w:pPr>
        <w:pStyle w:val="Heading3"/>
      </w:pPr>
      <w:bookmarkStart w:id="83" w:name="notices"/>
      <w:r>
        <w:t xml:space="preserve">11.4 Notices</w:t>
      </w:r>
      <w:bookmarkEnd w:id="83"/>
    </w:p>
    <w:p>
      <w:pPr>
        <w:pStyle w:val="FirstParagraph"/>
      </w:pPr>
      <w:r>
        <w:t xml:space="preserve">Notices are valid if sent to the email addresses stated in §1 and are deemed received on the next working day.</w:t>
      </w:r>
    </w:p>
    <w:p>
      <w:pPr>
        <w:pStyle w:val="Heading3"/>
      </w:pPr>
      <w:bookmarkStart w:id="84" w:name="governing-law-jurisdiction"/>
      <w:r>
        <w:t xml:space="preserve">11.5 Governing law &amp; jurisdiction</w:t>
      </w:r>
      <w:bookmarkEnd w:id="84"/>
    </w:p>
    <w:p>
      <w:pPr>
        <w:pStyle w:val="FirstParagraph"/>
      </w:pPr>
      <w:r>
        <w:t xml:space="preserve">This Agreement is governed by the laws of the</w:t>
      </w:r>
      <w:r>
        <w:t xml:space="preserve"> </w:t>
      </w:r>
      <w:r>
        <w:rPr>
          <w:b/>
        </w:rPr>
        <w:t xml:space="preserve">State of Kuwait</w:t>
      </w:r>
      <w:r>
        <w:t xml:space="preserve">. The Parties shall first attempt to resolve any dispute amicably; failing that, the competent courts of Kuwait shall have jurisdiction.</w:t>
      </w:r>
    </w:p>
    <w:p>
      <w:pPr>
        <w:pStyle w:val="Heading3"/>
      </w:pPr>
      <w:bookmarkStart w:id="85" w:name="language-counterparts"/>
      <w:r>
        <w:t xml:space="preserve">11.6 Language &amp; counterparts</w:t>
      </w:r>
      <w:bookmarkEnd w:id="85"/>
    </w:p>
    <w:p>
      <w:pPr>
        <w:pStyle w:val="FirstParagraph"/>
      </w:pPr>
      <w:r>
        <w:t xml:space="preserve">Executed bilingually in English and Arabic in two originals. In case of discrepancy, the</w:t>
      </w:r>
      <w:r>
        <w:t xml:space="preserve"> </w:t>
      </w:r>
      <w:r>
        <w:rPr>
          <w:b/>
        </w:rPr>
        <w:t xml:space="preserve">Arabic text prevails</w:t>
      </w:r>
      <w:r>
        <w:t xml:space="preserve">.</w:t>
      </w:r>
    </w:p>
    <w:p>
      <w:pPr>
        <w:pStyle w:val="Heading3"/>
      </w:pPr>
      <w:bookmarkStart w:id="86" w:name="حدود-المسؤولية"/>
      <w:r>
        <w:t xml:space="preserve">11.1 حدود المسؤولية</w:t>
      </w:r>
      <w:bookmarkEnd w:id="86"/>
    </w:p>
    <w:p>
      <w:pPr>
        <w:pStyle w:val="FirstParagraph"/>
      </w:pPr>
      <w:r>
        <w:t xml:space="preserve">لا تتجاوز المسؤولية الإجمالية لديكسور بموجب هذه الاتفاقية إجمالي المبالغ المسددة فعلياً من العميل. ولا يُسأل أي طرف عن الأضرار غير المباشرة أو التبعية، بما فيها فوات الربح أو فقدان البيانات الناتج عن عوامل خارجة عن سيطرته.</w:t>
      </w:r>
    </w:p>
    <w:p>
      <w:pPr>
        <w:pStyle w:val="Heading3"/>
      </w:pPr>
      <w:bookmarkStart w:id="87" w:name="القوة-القاهرة"/>
      <w:r>
        <w:t xml:space="preserve">11.2 القوة القاهرة</w:t>
      </w:r>
      <w:bookmarkEnd w:id="87"/>
    </w:p>
    <w:p>
      <w:pPr>
        <w:pStyle w:val="FirstParagraph"/>
      </w:pPr>
      <w:r>
        <w:t xml:space="preserve">لا يُعدّ أي طرف مخلاً بسبب تأخير ناتج عن حدث خارج عن سيطرته المعقولة، وتُعلَّق الالتزامات طوال مدة ذلك الحدث.</w:t>
      </w:r>
    </w:p>
    <w:p>
      <w:pPr>
        <w:pStyle w:val="Heading3"/>
      </w:pPr>
      <w:bookmarkStart w:id="88" w:name="التعليق-والإنهاء"/>
      <w:r>
        <w:t xml:space="preserve">11.3 التعليق والإنهاء</w:t>
      </w:r>
      <w:bookmarkEnd w:id="88"/>
    </w:p>
    <w:p>
      <w:pPr>
        <w:pStyle w:val="FirstParagraph"/>
      </w:pPr>
      <w:r>
        <w:t xml:space="preserve">يجوز لأي طرف إنهاء الاتفاقية عند إخلال جوهري لم يُعالَج خلال</w:t>
      </w:r>
      <w:r>
        <w:t xml:space="preserve"> </w:t>
      </w:r>
      <w:r>
        <w:rPr>
          <w:b/>
        </w:rPr>
        <w:t xml:space="preserve">ثلاثين (30) يوماً</w:t>
      </w:r>
      <w:r>
        <w:t xml:space="preserve"> </w:t>
      </w:r>
      <w:r>
        <w:t xml:space="preserve">من الإخطار الخطي. وعند الإنهاء، يسدد العميل قيمة الأعمال المُسلَّمة حتى ذلك التاريخ، وتسلّم ديكسور قاعدة البيانات وجميع المُخرجات المنجزة.</w:t>
      </w:r>
    </w:p>
    <w:p>
      <w:pPr>
        <w:pStyle w:val="Heading3"/>
      </w:pPr>
      <w:bookmarkStart w:id="89" w:name="الإخطارات"/>
      <w:r>
        <w:t xml:space="preserve">11.4 الإخطارات</w:t>
      </w:r>
      <w:bookmarkEnd w:id="89"/>
    </w:p>
    <w:p>
      <w:pPr>
        <w:pStyle w:val="FirstParagraph"/>
      </w:pPr>
      <w:r>
        <w:t xml:space="preserve">تُعدّ الإخطارات صحيحة إذا أُرسلت إلى عناوين البريد الإلكتروني الواردة في البند 1، وتُعتبر مستلمة في يوم العمل التالي.</w:t>
      </w:r>
    </w:p>
    <w:p>
      <w:pPr>
        <w:pStyle w:val="Heading3"/>
      </w:pPr>
      <w:bookmarkStart w:id="90" w:name="القانون-الحاكم-والاختصاص"/>
      <w:r>
        <w:t xml:space="preserve">11.5 القانون الحاكم والاختصاص</w:t>
      </w:r>
      <w:bookmarkEnd w:id="90"/>
    </w:p>
    <w:p>
      <w:pPr>
        <w:pStyle w:val="FirstParagraph"/>
      </w:pPr>
      <w:r>
        <w:t xml:space="preserve">تخضع هذه الاتفاقية لقوانين</w:t>
      </w:r>
      <w:r>
        <w:t xml:space="preserve"> </w:t>
      </w:r>
      <w:r>
        <w:rPr>
          <w:b/>
        </w:rPr>
        <w:t xml:space="preserve">دولة الكويت</w:t>
      </w:r>
      <w:r>
        <w:t xml:space="preserve">. ويسعى الطرفان أولاً لحل أي نزاع ودياً، وإلا فتختص المحاكم الكويتية المختصة بنظره.</w:t>
      </w:r>
    </w:p>
    <w:p>
      <w:pPr>
        <w:pStyle w:val="Heading3"/>
      </w:pPr>
      <w:bookmarkStart w:id="91" w:name="اللغة-والنسخ"/>
      <w:r>
        <w:t xml:space="preserve">11.6 اللغة والنسخ</w:t>
      </w:r>
      <w:bookmarkEnd w:id="91"/>
    </w:p>
    <w:p>
      <w:pPr>
        <w:pStyle w:val="FirstParagraph"/>
      </w:pPr>
      <w:r>
        <w:t xml:space="preserve">حُرِّرت هذه الاتفاقية بلغتين، الإنجليزية والعربية، من نسختين أصليتين. وعند الاختلاف</w:t>
      </w:r>
      <w:r>
        <w:t xml:space="preserve"> </w:t>
      </w:r>
      <w:r>
        <w:rPr>
          <w:b/>
        </w:rPr>
        <w:t xml:space="preserve">يُعتد بالنص العربي</w:t>
      </w:r>
      <w:r>
        <w:t xml:space="preserve">.</w:t>
      </w:r>
    </w:p>
    <w:p>
      <w:pPr>
        <w:pStyle w:val="Heading2"/>
      </w:pPr>
      <w:bookmarkStart w:id="92" w:name="a.-special-conditions"/>
      <w:r>
        <w:t xml:space="preserve">11A. Special Conditions</w:t>
      </w:r>
      <w:bookmarkEnd w:id="92"/>
    </w:p>
    <w:p>
      <w:pPr>
        <w:pStyle w:val="Heading2"/>
      </w:pPr>
      <w:bookmarkStart w:id="93" w:name="أ.-شروط-خاصة"/>
      <w:r>
        <w:t xml:space="preserve">11أ. شروط خاصة</w:t>
      </w:r>
      <w:bookmarkEnd w:id="93"/>
    </w:p>
    <w:p>
      <w:pPr>
        <w:pStyle w:val="FirstParagraph"/>
      </w:pPr>
      <w:r>
        <w:t xml:space="preserve">1- The Aleem Agent (AI Agent) fee shall be USD 120 (One Hundred and Twenty US Dollars) per month.</w:t>
      </w:r>
      <w:r>
        <w:br/>
      </w:r>
      <w:r>
        <w:t xml:space="preserve">2- The contract value covers the total number of users, with the exception of two (2) users, whose licensing fees shall be paid directly to the parent company (Odoo Dubai) on an annual basis. The cost per user shall be USD 25 (Twenty-Five US Dollars) per month.</w:t>
      </w:r>
      <w:r>
        <w:br/>
      </w:r>
      <w:r>
        <w:t xml:space="preserve">3- This contract is based on Odoo 19 Enterprise Edition (Professional Version).</w:t>
      </w:r>
    </w:p>
    <w:p>
      <w:pPr>
        <w:pStyle w:val="BodyText"/>
      </w:pPr>
      <w:r>
        <w:t xml:space="preserve">1- تكون تكلفة الذكاء الاصطناعي (Aleem Agent) بقيمة 120 دولارًا أمريكيًا (مائة وعشرون دولارًا أمريكيًا) شهريًا.</w:t>
      </w:r>
      <w:r>
        <w:br/>
      </w:r>
      <w:r>
        <w:t xml:space="preserve">2- تشمل قيمة العقد إجمالي عدد المستخدمين ، باستثناء مستخدمين (2) اثنين، حيث تُدفع تكلفة ترخيصهما مباشرةً للشركة الأم ( Odoo Dubai ) بشكل سنوي. وتبلغ تكلفة المستخدم الواحد 25 دولارًا أمريكيًا (خمسة وعشرون دولارًا أمريكيًا) شهريًا.</w:t>
      </w:r>
      <w:r>
        <w:br/>
      </w:r>
      <w:r>
        <w:t xml:space="preserve">3- يُعتمد هذا العقد على إصدار Odoo 19 Enterprise (النسخة الاحترافية).</w:t>
      </w:r>
    </w:p>
    <w:p>
      <w:pPr>
        <w:pStyle w:val="Heading2"/>
      </w:pPr>
      <w:bookmarkStart w:id="94" w:name="acceptance"/>
      <w:r>
        <w:t xml:space="preserve">12. Acceptance</w:t>
      </w:r>
      <w:bookmarkEnd w:id="94"/>
    </w:p>
    <w:p>
      <w:pPr>
        <w:pStyle w:val="Heading2"/>
      </w:pPr>
      <w:bookmarkStart w:id="95" w:name="القبول"/>
      <w:r>
        <w:t xml:space="preserve">12. القبول</w:t>
      </w:r>
      <w:bookmarkEnd w:id="95"/>
    </w:p>
    <w:p>
      <w:pPr>
        <w:pStyle w:val="FirstParagraph"/>
      </w:pPr>
      <w:r>
        <w:t xml:space="preserve">By signing below, the Parties confirm that they have read, understood and accepted the scope, commercial terms and conditions set out in this Agreement and its Annex, and that the signatories are duly authorised to bind their respective companies.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For Dexor (Service Provider)</w:t>
            </w:r>
          </w:p>
        </w:tc>
        <w:tc>
          <w:tcPr>
            <w:tcBorders>
              <w:bottom w:val="single"/>
            </w:tcBorders>
            <w:vAlign w:val="bottom"/>
          </w:tcPr>
          <w:p>
            <w:pPr>
              <w:pStyle w:val="Compact"/>
              <w:jc w:val="left"/>
            </w:pPr>
            <w:r>
              <w:t xml:space="preserve">For Benaa Base Company (Client)</w:t>
            </w:r>
          </w:p>
        </w:tc>
      </w:tr>
      <w:tr>
        <w:tc>
          <w:p>
            <w:pPr>
              <w:pStyle w:val="Compact"/>
              <w:jc w:val="left"/>
            </w:pPr>
            <w:r>
              <w:t xml:space="preserve">Date: ___ / ___ / ______</w:t>
            </w:r>
            <w:r>
              <w:br/>
            </w:r>
            <w:r>
              <w:t xml:space="preserve">Dexor · info@dexor.ae · Kuwait</w:t>
            </w:r>
          </w:p>
        </w:tc>
        <w:tc>
          <w:p>
            <w:pPr>
              <w:pStyle w:val="Compact"/>
              <w:jc w:val="left"/>
            </w:pPr>
            <w:r>
              <w:t xml:space="preserve">Date: ___ / ___ / ______</w:t>
            </w:r>
            <w:r>
              <w:br/>
            </w:r>
            <w:r>
              <w:t xml:space="preserve">Authorised representative · Kuwait</w:t>
            </w:r>
          </w:p>
        </w:tc>
      </w:tr>
    </w:tbl>
    <w:p>
      <w:pPr>
        <w:pStyle w:val="BodyText"/>
      </w:pPr>
      <w:r>
        <w:t xml:space="preserve">بالتوقيع أدناه، يقرّ الطرفان بأنهما قرآ وفهما وقبلا النطاق والشروط التجارية والأحكام الواردة في هذه الاتفاقية وملحقها، وبأن الموقّعَين مفوّضان حسب الأصول بإلزام شركتيهما.</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عن ديكسور (مزود الخدمة)</w:t>
            </w:r>
          </w:p>
        </w:tc>
        <w:tc>
          <w:tcPr>
            <w:tcBorders>
              <w:bottom w:val="single"/>
            </w:tcBorders>
            <w:vAlign w:val="bottom"/>
          </w:tcPr>
          <w:p>
            <w:pPr>
              <w:pStyle w:val="Compact"/>
              <w:jc w:val="left"/>
            </w:pPr>
            <w:r>
              <w:t xml:space="preserve">عن شركة بناء بيز (العميل)</w:t>
            </w:r>
          </w:p>
        </w:tc>
      </w:tr>
      <w:tr>
        <w:tc>
          <w:p>
            <w:pPr>
              <w:pStyle w:val="Compact"/>
              <w:jc w:val="left"/>
            </w:pPr>
            <w:r>
              <w:t xml:space="preserve">التاريخ: ___ / ___ / ______</w:t>
            </w:r>
            <w:r>
              <w:br/>
            </w:r>
            <w:r>
              <w:t xml:space="preserve">ديكسور · info@dexor.ae · الكويت</w:t>
            </w:r>
          </w:p>
        </w:tc>
        <w:tc>
          <w:p>
            <w:pPr>
              <w:pStyle w:val="Compact"/>
              <w:jc w:val="left"/>
            </w:pPr>
            <w:r>
              <w:t xml:space="preserve">التاريخ: ___ / ___ / ______</w:t>
            </w:r>
            <w:r>
              <w:br/>
            </w:r>
            <w:r>
              <w:t xml:space="preserve">الممثل المفوّض · الكويت</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Client signatory</w:t>
            </w:r>
          </w:p>
        </w:tc>
        <w:tc>
          <w:tcPr>
            <w:tcBorders>
              <w:bottom w:val="single"/>
            </w:tcBorders>
            <w:vAlign w:val="bottom"/>
          </w:tcPr>
          <w:p>
            <w:pPr>
              <w:pStyle w:val="Compact"/>
              <w:jc w:val="left"/>
            </w:pPr>
            <w:r>
              <w:t xml:space="preserve">Details</w:t>
            </w:r>
          </w:p>
        </w:tc>
      </w:tr>
      <w:tr>
        <w:tc>
          <w:p>
            <w:pPr>
              <w:pStyle w:val="Compact"/>
              <w:jc w:val="left"/>
            </w:pPr>
            <w:r>
              <w:t xml:space="preserve">Name</w:t>
            </w:r>
          </w:p>
        </w:tc>
        <w:tc>
          <w:p>
            <w:pPr>
              <w:pStyle w:val="Compact"/>
              <w:jc w:val="left"/>
            </w:pPr>
            <w:r>
              <w:t xml:space="preserve">_____________________________</w:t>
            </w:r>
          </w:p>
        </w:tc>
      </w:tr>
      <w:tr>
        <w:tc>
          <w:p>
            <w:pPr>
              <w:pStyle w:val="Compact"/>
              <w:jc w:val="left"/>
            </w:pPr>
            <w:r>
              <w:t xml:space="preserve">Position</w:t>
            </w:r>
          </w:p>
        </w:tc>
        <w:tc>
          <w:p>
            <w:pPr>
              <w:pStyle w:val="Compact"/>
              <w:jc w:val="left"/>
            </w:pPr>
            <w:r>
              <w:t xml:space="preserve">_____________________________</w:t>
            </w:r>
          </w:p>
        </w:tc>
      </w:tr>
      <w:tr>
        <w:tc>
          <w:p>
            <w:pPr>
              <w:pStyle w:val="Compact"/>
              <w:jc w:val="left"/>
            </w:pPr>
            <w:r>
              <w:t xml:space="preserve">Company stamp</w:t>
            </w:r>
          </w:p>
        </w:tc>
        <w:tc>
          <w:p>
            <w:pPr>
              <w:pStyle w:val="Compact"/>
              <w:jc w:val="left"/>
            </w:pPr>
            <w:r>
              <w:t xml:space="preserve">_____________________________</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الموقّع عن العميل</w:t>
            </w:r>
          </w:p>
        </w:tc>
        <w:tc>
          <w:tcPr>
            <w:tcBorders>
              <w:bottom w:val="single"/>
            </w:tcBorders>
            <w:vAlign w:val="bottom"/>
          </w:tcPr>
          <w:p>
            <w:pPr>
              <w:pStyle w:val="Compact"/>
              <w:jc w:val="left"/>
            </w:pPr>
            <w:r>
              <w:t xml:space="preserve">البيانات</w:t>
            </w:r>
          </w:p>
        </w:tc>
      </w:tr>
      <w:tr>
        <w:tc>
          <w:p>
            <w:pPr>
              <w:pStyle w:val="Compact"/>
              <w:jc w:val="left"/>
            </w:pPr>
            <w:r>
              <w:t xml:space="preserve">الاسم</w:t>
            </w:r>
          </w:p>
        </w:tc>
        <w:tc>
          <w:p>
            <w:pPr>
              <w:pStyle w:val="Compact"/>
              <w:jc w:val="left"/>
            </w:pPr>
            <w:r>
              <w:t xml:space="preserve">_____________________________</w:t>
            </w:r>
          </w:p>
        </w:tc>
      </w:tr>
      <w:tr>
        <w:tc>
          <w:p>
            <w:pPr>
              <w:pStyle w:val="Compact"/>
              <w:jc w:val="left"/>
            </w:pPr>
            <w:r>
              <w:t xml:space="preserve">المنصب</w:t>
            </w:r>
          </w:p>
        </w:tc>
        <w:tc>
          <w:p>
            <w:pPr>
              <w:pStyle w:val="Compact"/>
              <w:jc w:val="left"/>
            </w:pPr>
            <w:r>
              <w:t xml:space="preserve">_____________________________</w:t>
            </w:r>
          </w:p>
        </w:tc>
      </w:tr>
      <w:tr>
        <w:tc>
          <w:p>
            <w:pPr>
              <w:pStyle w:val="Compact"/>
              <w:jc w:val="left"/>
            </w:pPr>
            <w:r>
              <w:t xml:space="preserve">ختم الشركة</w:t>
            </w:r>
          </w:p>
        </w:tc>
        <w:tc>
          <w:p>
            <w:pPr>
              <w:pStyle w:val="Compact"/>
              <w:jc w:val="left"/>
            </w:pPr>
            <w:r>
              <w:t xml:space="preserve">_____________________________</w:t>
            </w:r>
          </w:p>
        </w:tc>
      </w:tr>
    </w:tbl>
    <w:p>
      <w:pPr>
        <w:pStyle w:val="BodyText"/>
      </w:pPr>
      <w:r>
        <w:t xml:space="preserve">Executed in two (2) bilingual originals, one for each Party. Each page of this Agreement and of Annex A shall be initialled by both Parties.</w:t>
      </w:r>
    </w:p>
    <w:p>
      <w:pPr>
        <w:pStyle w:val="BodyText"/>
      </w:pPr>
      <w:r>
        <w:t xml:space="preserve">حُرِّرت من نسختين (2) أصليتين ثنائيتي اللغة، لكل طرف نسخة. ويُوقَّع الطرفان بالأحرف الأولى على كل صفحة من هذه الاتفاقية ومن الملحق (أ).</w:t>
      </w:r>
    </w:p>
    <w:p>
      <w:pPr>
        <w:pStyle w:val="Heading2"/>
      </w:pPr>
      <w:bookmarkStart w:id="96" w:name="annex-a-scope-user-confirmation"/>
      <w:r>
        <w:t xml:space="preserve">Annex A — Scope &amp; User Confirmation</w:t>
      </w:r>
      <w:bookmarkEnd w:id="96"/>
    </w:p>
    <w:p>
      <w:pPr>
        <w:pStyle w:val="Heading2"/>
      </w:pPr>
      <w:bookmarkStart w:id="97" w:name="الملحق-أ-تأكيد-النطاق-والمستخدمين"/>
      <w:r>
        <w:t xml:space="preserve">الملحق (أ) — تأكيد النطاق والمستخدمين</w:t>
      </w:r>
      <w:bookmarkEnd w:id="97"/>
    </w:p>
    <w:p>
      <w:pPr>
        <w:pStyle w:val="FirstParagraph"/>
      </w:pPr>
      <w:r>
        <w:t xml:space="preserve">The modules below are the scope of this engagement. This Annex is signed together with the Agreement and forms an integral part of it.</w:t>
      </w:r>
    </w:p>
    <w:p>
      <w:pPr>
        <w:pStyle w:val="BodyText"/>
      </w:pPr>
      <w:r>
        <w:t xml:space="preserve">الوحدات أدناه هي نطاق هذا التعاقد. يُوقَّع هذا الملحق مع الاتفاقية ويُعدّ جزءاً لا يتجزأ منها.</w:t>
      </w:r>
    </w:p>
    <w:tbl>
      <w:tblPr>
        <w:tblStyle w:val="Table"/>
        <w:tblW w:type="pct" w:w="0.0"/>
        <w:tblLook w:firstRow="1"/>
      </w:tblPr>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Module / Item</w:t>
            </w:r>
          </w:p>
        </w:tc>
        <w:tc>
          <w:tcPr>
            <w:tcBorders>
              <w:bottom w:val="single"/>
            </w:tcBorders>
            <w:vAlign w:val="bottom"/>
          </w:tcPr>
          <w:p>
            <w:pPr>
              <w:pStyle w:val="Compact"/>
              <w:jc w:val="left"/>
            </w:pPr>
            <w:r>
              <w:t xml:space="preserve">Notes</w:t>
            </w:r>
          </w:p>
        </w:tc>
      </w:tr>
      <w:tr>
        <w:tc>
          <w:p>
            <w:pPr>
              <w:pStyle w:val="Compact"/>
              <w:jc w:val="left"/>
            </w:pPr>
            <w:r>
              <w:t xml:space="preserve">☑</w:t>
            </w:r>
          </w:p>
        </w:tc>
        <w:tc>
          <w:p>
            <w:pPr>
              <w:pStyle w:val="Compact"/>
              <w:jc w:val="left"/>
            </w:pPr>
            <w:r>
              <w:t xml:space="preserve">01 · CRM &amp; Marketing</w:t>
            </w:r>
          </w:p>
        </w:tc>
        <w:tc>
          <w:p>
            <w:pPr>
              <w:pStyle w:val="Compact"/>
              <w:jc w:val="left"/>
            </w:pPr>
            <w:r>
              <w:t xml:space="preserve">Included</w:t>
            </w:r>
          </w:p>
        </w:tc>
      </w:tr>
      <w:tr>
        <w:tc>
          <w:p>
            <w:pPr>
              <w:pStyle w:val="Compact"/>
              <w:jc w:val="left"/>
            </w:pPr>
            <w:r>
              <w:t xml:space="preserve">☑</w:t>
            </w:r>
          </w:p>
        </w:tc>
        <w:tc>
          <w:p>
            <w:pPr>
              <w:pStyle w:val="Compact"/>
              <w:jc w:val="left"/>
            </w:pPr>
            <w:r>
              <w:t xml:space="preserve">02 · Sales</w:t>
            </w:r>
          </w:p>
        </w:tc>
        <w:tc>
          <w:p>
            <w:pPr>
              <w:pStyle w:val="Compact"/>
              <w:jc w:val="left"/>
            </w:pPr>
            <w:r>
              <w:t xml:space="preserve">Included</w:t>
            </w:r>
          </w:p>
        </w:tc>
      </w:tr>
      <w:tr>
        <w:tc>
          <w:p>
            <w:pPr>
              <w:pStyle w:val="Compact"/>
              <w:jc w:val="left"/>
            </w:pPr>
            <w:r>
              <w:t xml:space="preserve">☑</w:t>
            </w:r>
          </w:p>
        </w:tc>
        <w:tc>
          <w:p>
            <w:pPr>
              <w:pStyle w:val="Compact"/>
              <w:jc w:val="left"/>
            </w:pPr>
            <w:r>
              <w:t xml:space="preserve">03 · Purchase &amp; Procurement</w:t>
            </w:r>
          </w:p>
        </w:tc>
        <w:tc>
          <w:p>
            <w:pPr>
              <w:pStyle w:val="Compact"/>
              <w:jc w:val="left"/>
            </w:pPr>
            <w:r>
              <w:t xml:space="preserve">Included</w:t>
            </w:r>
          </w:p>
        </w:tc>
      </w:tr>
      <w:tr>
        <w:tc>
          <w:p>
            <w:pPr>
              <w:pStyle w:val="Compact"/>
              <w:jc w:val="left"/>
            </w:pPr>
            <w:r>
              <w:t xml:space="preserve">☑</w:t>
            </w:r>
          </w:p>
        </w:tc>
        <w:tc>
          <w:p>
            <w:pPr>
              <w:pStyle w:val="Compact"/>
              <w:jc w:val="left"/>
            </w:pPr>
            <w:r>
              <w:t xml:space="preserve">04 · Inventory &amp; Warehousing</w:t>
            </w:r>
          </w:p>
        </w:tc>
        <w:tc>
          <w:p>
            <w:pPr>
              <w:pStyle w:val="Compact"/>
              <w:jc w:val="left"/>
            </w:pPr>
            <w:r>
              <w:t xml:space="preserve">Included</w:t>
            </w:r>
          </w:p>
        </w:tc>
      </w:tr>
      <w:tr>
        <w:tc>
          <w:p>
            <w:pPr>
              <w:pStyle w:val="Compact"/>
              <w:jc w:val="left"/>
            </w:pPr>
            <w:r>
              <w:t xml:space="preserve">☑</w:t>
            </w:r>
          </w:p>
        </w:tc>
        <w:tc>
          <w:p>
            <w:pPr>
              <w:pStyle w:val="Compact"/>
              <w:jc w:val="left"/>
            </w:pPr>
            <w:r>
              <w:t xml:space="preserve">05 · Accounting &amp; Finance</w:t>
            </w:r>
          </w:p>
        </w:tc>
        <w:tc>
          <w:p>
            <w:pPr>
              <w:pStyle w:val="Compact"/>
              <w:jc w:val="left"/>
            </w:pPr>
            <w:r>
              <w:t xml:space="preserve">Included</w:t>
            </w:r>
          </w:p>
        </w:tc>
      </w:tr>
      <w:tr>
        <w:tc>
          <w:p>
            <w:pPr>
              <w:pStyle w:val="Compact"/>
              <w:jc w:val="left"/>
            </w:pPr>
            <w:r>
              <w:t xml:space="preserve">☑</w:t>
            </w:r>
          </w:p>
        </w:tc>
        <w:tc>
          <w:p>
            <w:pPr>
              <w:pStyle w:val="Compact"/>
              <w:jc w:val="left"/>
            </w:pPr>
            <w:r>
              <w:t xml:space="preserve">06 · Human Resources</w:t>
            </w:r>
          </w:p>
        </w:tc>
        <w:tc>
          <w:p>
            <w:pPr>
              <w:pStyle w:val="Compact"/>
              <w:jc w:val="left"/>
            </w:pPr>
            <w:r>
              <w:t xml:space="preserve">Included</w:t>
            </w:r>
          </w:p>
        </w:tc>
      </w:tr>
      <w:tr>
        <w:tc>
          <w:p>
            <w:pPr>
              <w:pStyle w:val="Compact"/>
              <w:jc w:val="left"/>
            </w:pPr>
            <w:r>
              <w:t xml:space="preserve">☑</w:t>
            </w:r>
          </w:p>
        </w:tc>
        <w:tc>
          <w:p>
            <w:pPr>
              <w:pStyle w:val="Compact"/>
              <w:jc w:val="left"/>
            </w:pPr>
            <w:r>
              <w:t xml:space="preserve">07 · Analytics &amp; Dashboards</w:t>
            </w:r>
          </w:p>
        </w:tc>
        <w:tc>
          <w:p>
            <w:pPr>
              <w:pStyle w:val="Compact"/>
              <w:jc w:val="left"/>
            </w:pPr>
            <w:r>
              <w:t xml:space="preserve">Included</w:t>
            </w:r>
          </w:p>
        </w:tc>
      </w:tr>
      <w:tr>
        <w:tc>
          <w:p>
            <w:pPr>
              <w:pStyle w:val="Compact"/>
              <w:jc w:val="left"/>
            </w:pPr>
            <w:r>
              <w:t xml:space="preserve">☑</w:t>
            </w:r>
          </w:p>
        </w:tc>
        <w:tc>
          <w:p>
            <w:pPr>
              <w:pStyle w:val="Compact"/>
              <w:jc w:val="left"/>
            </w:pPr>
            <w:r>
              <w:t xml:space="preserve">Additional scope (per §4)</w:t>
            </w:r>
          </w:p>
        </w:tc>
        <w:tc>
          <w:p>
            <w:pPr>
              <w:pStyle w:val="Compact"/>
              <w:jc w:val="left"/>
            </w:pPr>
            <w:r>
              <w:t xml:space="preserve">____________</w:t>
            </w:r>
          </w:p>
        </w:tc>
      </w:tr>
      <w:tr>
        <w:tc>
          <w:p>
            <w:pPr>
              <w:pStyle w:val="Compact"/>
              <w:jc w:val="left"/>
            </w:pPr>
            <w:r>
              <w:t xml:space="preserve">☑</w:t>
            </w:r>
          </w:p>
        </w:tc>
        <w:tc>
          <w:p>
            <w:pPr>
              <w:pStyle w:val="Compact"/>
              <w:jc w:val="left"/>
            </w:pPr>
            <w:r>
              <w:t xml:space="preserve">Named users</w:t>
            </w:r>
          </w:p>
        </w:tc>
        <w:tc>
          <w:p>
            <w:pPr>
              <w:pStyle w:val="Compact"/>
              <w:jc w:val="left"/>
            </w:pPr>
            <w:r>
              <w:t xml:space="preserve">7 users</w:t>
            </w:r>
          </w:p>
        </w:tc>
      </w:tr>
      <w:tr>
        <w:tc>
          <w:p>
            <w:pPr>
              <w:pStyle w:val="Compact"/>
              <w:jc w:val="left"/>
            </w:pPr>
            <w:r>
              <w:t xml:space="preserve">☐</w:t>
            </w:r>
          </w:p>
        </w:tc>
        <w:tc>
          <w:p>
            <w:pPr>
              <w:pStyle w:val="Compact"/>
              <w:jc w:val="left"/>
            </w:pPr>
            <w:r>
              <w:t xml:space="preserve">Hosting option (per §7)</w:t>
            </w:r>
          </w:p>
        </w:tc>
        <w:tc>
          <w:p>
            <w:pPr>
              <w:pStyle w:val="Compact"/>
              <w:jc w:val="left"/>
            </w:pPr>
            <w:r>
              <w:t xml:space="preserve">____________</w:t>
            </w:r>
          </w:p>
        </w:tc>
      </w:tr>
      <w:tr>
        <w:tc>
          <w:p>
            <w:pPr>
              <w:pStyle w:val="Compact"/>
              <w:jc w:val="left"/>
            </w:pPr>
            <w:r>
              <w:t xml:space="preserve">☐</w:t>
            </w:r>
          </w:p>
        </w:tc>
        <w:tc>
          <w:p>
            <w:pPr>
              <w:pStyle w:val="Compact"/>
              <w:jc w:val="left"/>
            </w:pPr>
            <w:r>
              <w:t xml:space="preserve">Go-live target date</w:t>
            </w:r>
          </w:p>
        </w:tc>
        <w:tc>
          <w:p>
            <w:pPr>
              <w:pStyle w:val="Compact"/>
              <w:jc w:val="left"/>
            </w:pPr>
            <w:r>
              <w:t xml:space="preserve">____________</w:t>
            </w:r>
          </w:p>
        </w:tc>
      </w:tr>
    </w:tbl>
    <w:tbl>
      <w:tblPr>
        <w:tblStyle w:val="Table"/>
        <w:tblW w:type="pct" w:w="0.0"/>
        <w:tblLook w:firstRow="1"/>
      </w:tblPr>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الوحدة / البند</w:t>
            </w:r>
          </w:p>
        </w:tc>
        <w:tc>
          <w:tcPr>
            <w:tcBorders>
              <w:bottom w:val="single"/>
            </w:tcBorders>
            <w:vAlign w:val="bottom"/>
          </w:tcPr>
          <w:p>
            <w:pPr>
              <w:pStyle w:val="Compact"/>
              <w:jc w:val="left"/>
            </w:pPr>
            <w:r>
              <w:t xml:space="preserve">ملاحظات</w:t>
            </w:r>
          </w:p>
        </w:tc>
      </w:tr>
      <w:tr>
        <w:tc>
          <w:p>
            <w:pPr>
              <w:pStyle w:val="Compact"/>
              <w:jc w:val="left"/>
            </w:pPr>
            <w:r>
              <w:t xml:space="preserve">☑</w:t>
            </w:r>
          </w:p>
        </w:tc>
        <w:tc>
          <w:p>
            <w:pPr>
              <w:pStyle w:val="Compact"/>
              <w:jc w:val="left"/>
            </w:pPr>
            <w:r>
              <w:t xml:space="preserve">إدارة علاقات العملاء والتسويق</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المبيعات</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المشتريات والتوريد</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المخزون والمستودعات</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المحاسبة والمالية</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الموارد البشرية</w:t>
            </w:r>
          </w:p>
        </w:tc>
        <w:tc>
          <w:p>
            <w:pPr>
              <w:pStyle w:val="Compact"/>
              <w:jc w:val="left"/>
            </w:pPr>
            <w:r>
              <w:t xml:space="preserve">مشمولة</w:t>
            </w:r>
          </w:p>
        </w:tc>
      </w:tr>
      <w:tr>
        <w:tc>
          <w:p>
            <w:pPr>
              <w:pStyle w:val="Compact"/>
              <w:jc w:val="left"/>
            </w:pPr>
            <w:r>
              <w:t xml:space="preserve">☑</w:t>
            </w:r>
          </w:p>
        </w:tc>
        <w:tc>
          <w:p>
            <w:pPr>
              <w:pStyle w:val="Compact"/>
              <w:jc w:val="left"/>
            </w:pPr>
            <w:r>
              <w:t xml:space="preserve">التحليلات ولوحات المعلومات</w:t>
            </w:r>
          </w:p>
        </w:tc>
        <w:tc>
          <w:p>
            <w:pPr>
              <w:pStyle w:val="Compact"/>
              <w:jc w:val="left"/>
            </w:pPr>
            <w:r>
              <w:t xml:space="preserve">مشمولة</w:t>
            </w:r>
          </w:p>
        </w:tc>
      </w:tr>
      <w:tr>
        <w:tc>
          <w:p>
            <w:pPr>
              <w:pStyle w:val="Compact"/>
              <w:jc w:val="left"/>
            </w:pPr>
            <w:r>
              <w:t xml:space="preserve">☑</w:t>
            </w:r>
          </w:p>
        </w:tc>
        <w:tc>
          <w:p>
            <w:pPr>
              <w:pStyle w:val="Compact"/>
              <w:jc w:val="left"/>
            </w:pPr>
            <w:r>
              <w:t xml:space="preserve">النطاق الإضافي (البند 4)</w:t>
            </w:r>
          </w:p>
        </w:tc>
        <w:tc>
          <w:p>
            <w:pPr>
              <w:pStyle w:val="Compact"/>
              <w:jc w:val="left"/>
            </w:pPr>
            <w:r>
              <w:t xml:space="preserve">____________</w:t>
            </w:r>
          </w:p>
        </w:tc>
      </w:tr>
      <w:tr>
        <w:tc>
          <w:p>
            <w:pPr>
              <w:pStyle w:val="Compact"/>
              <w:jc w:val="left"/>
            </w:pPr>
            <w:r>
              <w:t xml:space="preserve">☑</w:t>
            </w:r>
          </w:p>
        </w:tc>
        <w:tc>
          <w:p>
            <w:pPr>
              <w:pStyle w:val="Compact"/>
              <w:jc w:val="left"/>
            </w:pPr>
            <w:r>
              <w:t xml:space="preserve">عدد المستخدمين</w:t>
            </w:r>
          </w:p>
        </w:tc>
        <w:tc>
          <w:p>
            <w:pPr>
              <w:pStyle w:val="Compact"/>
              <w:jc w:val="left"/>
            </w:pPr>
            <w:r>
              <w:t xml:space="preserve">7 مستخدم</w:t>
            </w:r>
          </w:p>
        </w:tc>
      </w:tr>
      <w:tr>
        <w:tc>
          <w:p>
            <w:pPr>
              <w:pStyle w:val="Compact"/>
              <w:jc w:val="left"/>
            </w:pPr>
            <w:r>
              <w:t xml:space="preserve">☐</w:t>
            </w:r>
          </w:p>
        </w:tc>
        <w:tc>
          <w:p>
            <w:pPr>
              <w:pStyle w:val="Compact"/>
              <w:jc w:val="left"/>
            </w:pPr>
            <w:r>
              <w:t xml:space="preserve">خيار الاستضافة (البند 7)</w:t>
            </w:r>
          </w:p>
        </w:tc>
        <w:tc>
          <w:p>
            <w:pPr>
              <w:pStyle w:val="Compact"/>
              <w:jc w:val="left"/>
            </w:pPr>
            <w:r>
              <w:t xml:space="preserve">____________</w:t>
            </w:r>
          </w:p>
        </w:tc>
      </w:tr>
      <w:tr>
        <w:tc>
          <w:p>
            <w:pPr>
              <w:pStyle w:val="Compact"/>
              <w:jc w:val="left"/>
            </w:pPr>
            <w:r>
              <w:t xml:space="preserve">☐</w:t>
            </w:r>
          </w:p>
        </w:tc>
        <w:tc>
          <w:p>
            <w:pPr>
              <w:pStyle w:val="Compact"/>
              <w:jc w:val="left"/>
            </w:pPr>
            <w:r>
              <w:t xml:space="preserve">تاريخ التشغيل المستهدف</w:t>
            </w:r>
          </w:p>
        </w:tc>
        <w:tc>
          <w:p>
            <w:pPr>
              <w:pStyle w:val="Compact"/>
              <w:jc w:val="left"/>
            </w:pPr>
            <w:r>
              <w:t xml:space="preserve">____________</w:t>
            </w:r>
          </w:p>
        </w:tc>
      </w:tr>
    </w:tbl>
    <w:p>
      <w:pPr>
        <w:pStyle w:val="BodyText"/>
      </w:pPr>
      <w:r>
        <w:t xml:space="preserve">Client signature: ______________________    Date: ____ / ____ / ________</w:t>
      </w:r>
    </w:p>
    <w:p>
      <w:pPr>
        <w:pStyle w:val="BodyText"/>
      </w:pPr>
      <w:r>
        <w:t xml:space="preserve">توقيع العميل: ______________________    التاريخ: ____ / ____ / ________</w:t>
      </w:r>
    </w:p>
    <w:p>
      <w:pPr>
        <w:pStyle w:val="Heading2"/>
      </w:pPr>
      <w:bookmarkStart w:id="98" w:name="annex-b-service-provider-credentials"/>
      <w:r>
        <w:t xml:space="preserve">Annex B — Service Provider Credentials</w:t>
      </w:r>
      <w:bookmarkEnd w:id="98"/>
    </w:p>
    <w:p>
      <w:pPr>
        <w:pStyle w:val="Heading2"/>
      </w:pPr>
      <w:bookmarkStart w:id="99" w:name="الملحق-ب-بيانات-اعتماد-مزود-الخدمة"/>
      <w:r>
        <w:t xml:space="preserve">الملحق (ب) — بيانات اعتماد مزود الخدمة</w:t>
      </w:r>
      <w:bookmarkEnd w:id="99"/>
    </w:p>
    <w:p>
      <w:pPr>
        <w:pStyle w:val="FirstParagraph"/>
      </w:pPr>
      <w:r>
        <w:t xml:space="preserve">Transcribed from the Service Provider’s official registration file. Certified copies of the register extract and trade licence are available to the Client on request.</w:t>
      </w:r>
    </w:p>
    <w:p>
      <w:pPr>
        <w:pStyle w:val="BodyText"/>
      </w:pPr>
      <w:r>
        <w:t xml:space="preserve">منقولة من ملف التسجيل الرسمي لمزود الخدمة. وتتوفر صور مصدّقة من مستخرج السجل التجاري والترخيص التجاري للعميل عند الطلب.</w:t>
      </w:r>
    </w:p>
    <w:p>
      <w:pPr>
        <w:pStyle w:val="Heading3"/>
      </w:pPr>
      <w:bookmarkStart w:id="100" w:name="b.1-registration-licensing"/>
      <w:r>
        <w:t xml:space="preserve">B.1 Registration &amp; licensing</w:t>
      </w:r>
      <w:bookmarkEnd w:id="100"/>
    </w:p>
    <w:tbl>
      <w:tblPr>
        <w:tblStyle w:val="Table"/>
        <w:tblW w:type="pct" w:w="0.0"/>
        <w:tblLook w:firstRow="1"/>
      </w:tblPr>
      <w:tblGrid/>
      <w:tr>
        <w:trPr>
          <w:cnfStyle w:firstRow="1"/>
        </w:trPr>
        <w:tc>
          <w:tcPr>
            <w:tcBorders>
              <w:bottom w:val="single"/>
            </w:tcBorders>
            <w:vAlign w:val="bottom"/>
          </w:tcPr>
          <w:p>
            <w:pPr>
              <w:pStyle w:val="Compact"/>
              <w:jc w:val="left"/>
            </w:pPr>
            <w:r>
              <w:t xml:space="preserve">Particular</w:t>
            </w:r>
          </w:p>
        </w:tc>
        <w:tc>
          <w:tcPr>
            <w:tcBorders>
              <w:bottom w:val="single"/>
            </w:tcBorders>
            <w:vAlign w:val="bottom"/>
          </w:tcPr>
          <w:p>
            <w:pPr>
              <w:pStyle w:val="Compact"/>
              <w:jc w:val="left"/>
            </w:pPr>
            <w:r>
              <w:t xml:space="preserve">Details</w:t>
            </w:r>
          </w:p>
        </w:tc>
      </w:tr>
      <w:tr>
        <w:tc>
          <w:p>
            <w:pPr>
              <w:pStyle w:val="Compact"/>
              <w:jc w:val="left"/>
            </w:pPr>
            <w:r>
              <w:t xml:space="preserve">Legal name (EN)</w:t>
            </w:r>
          </w:p>
        </w:tc>
        <w:tc>
          <w:p>
            <w:pPr>
              <w:pStyle w:val="Compact"/>
              <w:jc w:val="left"/>
            </w:pPr>
            <w:r>
              <w:t xml:space="preserve">Dexor Integrated Computer Solutions Co. — W.L.L.</w:t>
            </w:r>
          </w:p>
        </w:tc>
      </w:tr>
      <w:tr>
        <w:tc>
          <w:p>
            <w:pPr>
              <w:pStyle w:val="Compact"/>
              <w:jc w:val="left"/>
            </w:pPr>
            <w:r>
              <w:t xml:space="preserve">Legal name (AR)</w:t>
            </w:r>
          </w:p>
        </w:tc>
        <w:tc>
          <w:p>
            <w:pPr>
              <w:pStyle w:val="Compact"/>
              <w:jc w:val="left"/>
            </w:pPr>
            <w:r>
              <w:t xml:space="preserve">شركة ديكسور للحلول المتكاملة الحاسوبية ذ.م.م</w:t>
            </w:r>
          </w:p>
        </w:tc>
      </w:tr>
      <w:tr>
        <w:tc>
          <w:p>
            <w:pPr>
              <w:pStyle w:val="Compact"/>
              <w:jc w:val="left"/>
            </w:pPr>
            <w:r>
              <w:t xml:space="preserve">Legal form</w:t>
            </w:r>
          </w:p>
        </w:tc>
        <w:tc>
          <w:p>
            <w:pPr>
              <w:pStyle w:val="Compact"/>
              <w:jc w:val="left"/>
            </w:pPr>
            <w:r>
              <w:t xml:space="preserve">Limited Liability Company (W.L.L.), for profit</w:t>
            </w:r>
          </w:p>
        </w:tc>
      </w:tr>
      <w:tr>
        <w:tc>
          <w:p>
            <w:pPr>
              <w:pStyle w:val="Compact"/>
              <w:jc w:val="left"/>
            </w:pPr>
            <w:r>
              <w:t xml:space="preserve">Commercial Register</w:t>
            </w:r>
          </w:p>
        </w:tc>
        <w:tc>
          <w:p>
            <w:pPr>
              <w:pStyle w:val="Compact"/>
              <w:jc w:val="left"/>
            </w:pPr>
            <w:r>
              <w:t xml:space="preserve">No. 551952 — entered 22/07/2026</w:t>
            </w:r>
          </w:p>
        </w:tc>
      </w:tr>
      <w:tr>
        <w:tc>
          <w:p>
            <w:pPr>
              <w:pStyle w:val="Compact"/>
              <w:jc w:val="left"/>
            </w:pPr>
            <w:r>
              <w:t xml:space="preserve">Trade licence</w:t>
            </w:r>
          </w:p>
        </w:tc>
        <w:tc>
          <w:p>
            <w:pPr>
              <w:pStyle w:val="Compact"/>
              <w:jc w:val="left"/>
            </w:pPr>
            <w:r>
              <w:t xml:space="preserve">No. 2026/14049 — practising licence</w:t>
            </w:r>
          </w:p>
        </w:tc>
      </w:tr>
      <w:tr>
        <w:tc>
          <w:p>
            <w:pPr>
              <w:pStyle w:val="Compact"/>
              <w:jc w:val="left"/>
            </w:pPr>
            <w:r>
              <w:t xml:space="preserve">Licence validity</w:t>
            </w:r>
          </w:p>
        </w:tc>
        <w:tc>
          <w:p>
            <w:pPr>
              <w:pStyle w:val="Compact"/>
              <w:jc w:val="left"/>
            </w:pPr>
            <w:r>
              <w:t xml:space="preserve">Issued 30/07/2026 · valid to 29/07/2030</w:t>
            </w:r>
          </w:p>
        </w:tc>
      </w:tr>
      <w:tr>
        <w:tc>
          <w:p>
            <w:pPr>
              <w:pStyle w:val="Compact"/>
              <w:jc w:val="left"/>
            </w:pPr>
            <w:r>
              <w:t xml:space="preserve">Licensed activity</w:t>
            </w:r>
          </w:p>
        </w:tc>
        <w:tc>
          <w:p>
            <w:pPr>
              <w:pStyle w:val="Compact"/>
              <w:jc w:val="left"/>
            </w:pPr>
            <w:r>
              <w:t xml:space="preserve">620213 — Integrated computer solutions</w:t>
            </w:r>
          </w:p>
        </w:tc>
      </w:tr>
      <w:tr>
        <w:tc>
          <w:p>
            <w:pPr>
              <w:pStyle w:val="Compact"/>
              <w:jc w:val="left"/>
            </w:pPr>
            <w:r>
              <w:t xml:space="preserve">Issuing authority</w:t>
            </w:r>
          </w:p>
        </w:tc>
        <w:tc>
          <w:p>
            <w:pPr>
              <w:pStyle w:val="Compact"/>
              <w:jc w:val="left"/>
            </w:pPr>
            <w:r>
              <w:t xml:space="preserve">Ministry of Commerce &amp; Industry — Kuwait Business Centre</w:t>
            </w:r>
          </w:p>
        </w:tc>
      </w:tr>
      <w:tr>
        <w:tc>
          <w:p>
            <w:pPr>
              <w:pStyle w:val="Compact"/>
              <w:jc w:val="left"/>
            </w:pPr>
            <w:r>
              <w:t xml:space="preserve">Governing statutes</w:t>
            </w:r>
          </w:p>
        </w:tc>
        <w:tc>
          <w:p>
            <w:pPr>
              <w:pStyle w:val="Compact"/>
              <w:jc w:val="left"/>
            </w:pPr>
            <w:r>
              <w:t xml:space="preserve">Commercial Law 68/1980; Companies Law 1/2016 as amended by 15/2017 and its executive regulations; Shops Licensing Law 111/2013</w:t>
            </w:r>
          </w:p>
        </w:tc>
      </w:tr>
    </w:tbl>
    <w:p>
      <w:pPr>
        <w:pStyle w:val="Heading3"/>
      </w:pPr>
      <w:bookmarkStart w:id="101" w:name="ب.1-التسجيل-والترخيص"/>
      <w:r>
        <w:t xml:space="preserve">ب.1 التسجيل والترخيص</w:t>
      </w:r>
      <w:bookmarkEnd w:id="101"/>
    </w:p>
    <w:tbl>
      <w:tblPr>
        <w:tblStyle w:val="Table"/>
        <w:tblW w:type="pct" w:w="0.0"/>
        <w:tblLook w:firstRow="1"/>
      </w:tblPr>
      <w:tblGrid/>
      <w:tr>
        <w:trPr>
          <w:cnfStyle w:firstRow="1"/>
        </w:trPr>
        <w:tc>
          <w:tcPr>
            <w:tcBorders>
              <w:bottom w:val="single"/>
            </w:tcBorders>
            <w:vAlign w:val="bottom"/>
          </w:tcPr>
          <w:p>
            <w:pPr>
              <w:pStyle w:val="Compact"/>
              <w:jc w:val="left"/>
            </w:pPr>
            <w:r>
              <w:t xml:space="preserve">البيان</w:t>
            </w:r>
          </w:p>
        </w:tc>
        <w:tc>
          <w:tcPr>
            <w:tcBorders>
              <w:bottom w:val="single"/>
            </w:tcBorders>
            <w:vAlign w:val="bottom"/>
          </w:tcPr>
          <w:p>
            <w:pPr>
              <w:pStyle w:val="Compact"/>
              <w:jc w:val="left"/>
            </w:pPr>
            <w:r>
              <w:t xml:space="preserve">التفاصيل</w:t>
            </w:r>
          </w:p>
        </w:tc>
      </w:tr>
      <w:tr>
        <w:tc>
          <w:p>
            <w:pPr>
              <w:pStyle w:val="Compact"/>
              <w:jc w:val="left"/>
            </w:pPr>
            <w:r>
              <w:t xml:space="preserve">الاسم القانوني (إنجليزي)</w:t>
            </w:r>
          </w:p>
        </w:tc>
        <w:tc>
          <w:p>
            <w:pPr>
              <w:pStyle w:val="Compact"/>
              <w:jc w:val="left"/>
            </w:pPr>
            <w:r>
              <w:t xml:space="preserve">Dexor Integrated Computer Solutions Co. — W.L.L.</w:t>
            </w:r>
          </w:p>
        </w:tc>
      </w:tr>
      <w:tr>
        <w:tc>
          <w:p>
            <w:pPr>
              <w:pStyle w:val="Compact"/>
              <w:jc w:val="left"/>
            </w:pPr>
            <w:r>
              <w:t xml:space="preserve">الاسم القانوني (عربي)</w:t>
            </w:r>
          </w:p>
        </w:tc>
        <w:tc>
          <w:p>
            <w:pPr>
              <w:pStyle w:val="Compact"/>
              <w:jc w:val="left"/>
            </w:pPr>
            <w:r>
              <w:t xml:space="preserve">شركة ديكسور للحلول المتكاملة الحاسوبية ذ.م.م</w:t>
            </w:r>
          </w:p>
        </w:tc>
      </w:tr>
      <w:tr>
        <w:tc>
          <w:p>
            <w:pPr>
              <w:pStyle w:val="Compact"/>
              <w:jc w:val="left"/>
            </w:pPr>
            <w:r>
              <w:t xml:space="preserve">الكيان القانوني</w:t>
            </w:r>
          </w:p>
        </w:tc>
        <w:tc>
          <w:p>
            <w:pPr>
              <w:pStyle w:val="Compact"/>
              <w:jc w:val="left"/>
            </w:pPr>
            <w:r>
              <w:t xml:space="preserve">شركة ذات مسؤولية محدودة هادفة للربح</w:t>
            </w:r>
          </w:p>
        </w:tc>
      </w:tr>
      <w:tr>
        <w:tc>
          <w:p>
            <w:pPr>
              <w:pStyle w:val="Compact"/>
              <w:jc w:val="left"/>
            </w:pPr>
            <w:r>
              <w:t xml:space="preserve">السجل التجاري</w:t>
            </w:r>
          </w:p>
        </w:tc>
        <w:tc>
          <w:p>
            <w:pPr>
              <w:pStyle w:val="Compact"/>
              <w:jc w:val="left"/>
            </w:pPr>
            <w:r>
              <w:t xml:space="preserve">رقم 551952 — تاريخ القيد 22/07/2026</w:t>
            </w:r>
          </w:p>
        </w:tc>
      </w:tr>
      <w:tr>
        <w:tc>
          <w:p>
            <w:pPr>
              <w:pStyle w:val="Compact"/>
              <w:jc w:val="left"/>
            </w:pPr>
            <w:r>
              <w:t xml:space="preserve">الترخيص التجاري</w:t>
            </w:r>
          </w:p>
        </w:tc>
        <w:tc>
          <w:p>
            <w:pPr>
              <w:pStyle w:val="Compact"/>
              <w:jc w:val="left"/>
            </w:pPr>
            <w:r>
              <w:t xml:space="preserve">رقم 2026/14049 — ترخيص مزاولة</w:t>
            </w:r>
          </w:p>
        </w:tc>
      </w:tr>
      <w:tr>
        <w:tc>
          <w:p>
            <w:pPr>
              <w:pStyle w:val="Compact"/>
              <w:jc w:val="left"/>
            </w:pPr>
            <w:r>
              <w:t xml:space="preserve">سريان الترخيص</w:t>
            </w:r>
          </w:p>
        </w:tc>
        <w:tc>
          <w:p>
            <w:pPr>
              <w:pStyle w:val="Compact"/>
              <w:jc w:val="left"/>
            </w:pPr>
            <w:r>
              <w:t xml:space="preserve">صدر 30/07/2026 · ساري حتى 29/07/2030</w:t>
            </w:r>
          </w:p>
        </w:tc>
      </w:tr>
      <w:tr>
        <w:tc>
          <w:p>
            <w:pPr>
              <w:pStyle w:val="Compact"/>
              <w:jc w:val="left"/>
            </w:pPr>
            <w:r>
              <w:t xml:space="preserve">النشاط المرخّص</w:t>
            </w:r>
          </w:p>
        </w:tc>
        <w:tc>
          <w:p>
            <w:pPr>
              <w:pStyle w:val="Compact"/>
              <w:jc w:val="left"/>
            </w:pPr>
            <w:r>
              <w:t xml:space="preserve">620213 — حلول متكاملة حاسوبية</w:t>
            </w:r>
          </w:p>
        </w:tc>
      </w:tr>
      <w:tr>
        <w:tc>
          <w:p>
            <w:pPr>
              <w:pStyle w:val="Compact"/>
              <w:jc w:val="left"/>
            </w:pPr>
            <w:r>
              <w:t xml:space="preserve">الجهة المُصدِرة</w:t>
            </w:r>
          </w:p>
        </w:tc>
        <w:tc>
          <w:p>
            <w:pPr>
              <w:pStyle w:val="Compact"/>
              <w:jc w:val="left"/>
            </w:pPr>
            <w:r>
              <w:t xml:space="preserve">وزارة التجارة والصناعة — مركز الكويت للأعمال</w:t>
            </w:r>
          </w:p>
        </w:tc>
      </w:tr>
      <w:tr>
        <w:tc>
          <w:p>
            <w:pPr>
              <w:pStyle w:val="Compact"/>
              <w:jc w:val="left"/>
            </w:pPr>
            <w:r>
              <w:t xml:space="preserve">القوانين الحاكمة</w:t>
            </w:r>
          </w:p>
        </w:tc>
        <w:tc>
          <w:p>
            <w:pPr>
              <w:pStyle w:val="Compact"/>
              <w:jc w:val="left"/>
            </w:pPr>
            <w:r>
              <w:t xml:space="preserve">قانون التجارة 68/1980؛ قانون الشركات 1/2016 المعدّل بالقانون 15/2017 ولائحته التنفيذية؛ قانون ترخيص المحلات التجارية 111/2013</w:t>
            </w:r>
          </w:p>
        </w:tc>
      </w:tr>
    </w:tbl>
    <w:p>
      <w:pPr>
        <w:pStyle w:val="Heading3"/>
      </w:pPr>
      <w:bookmarkStart w:id="102" w:name="b.2-constitution-signing-authority"/>
      <w:r>
        <w:t xml:space="preserve">B.2 Constitution &amp; signing authority</w:t>
      </w:r>
      <w:bookmarkEnd w:id="102"/>
    </w:p>
    <w:tbl>
      <w:tblPr>
        <w:tblStyle w:val="Table"/>
        <w:tblW w:type="pct" w:w="0.0"/>
        <w:tblLook w:firstRow="1"/>
      </w:tblPr>
      <w:tblGrid/>
      <w:tr>
        <w:trPr>
          <w:cnfStyle w:firstRow="1"/>
        </w:trPr>
        <w:tc>
          <w:tcPr>
            <w:tcBorders>
              <w:bottom w:val="single"/>
            </w:tcBorders>
            <w:vAlign w:val="bottom"/>
          </w:tcPr>
          <w:p>
            <w:pPr>
              <w:pStyle w:val="Compact"/>
              <w:jc w:val="left"/>
            </w:pPr>
            <w:r>
              <w:t xml:space="preserve">Particular</w:t>
            </w:r>
          </w:p>
        </w:tc>
        <w:tc>
          <w:tcPr>
            <w:tcBorders>
              <w:bottom w:val="single"/>
            </w:tcBorders>
            <w:vAlign w:val="bottom"/>
          </w:tcPr>
          <w:p>
            <w:pPr>
              <w:pStyle w:val="Compact"/>
              <w:jc w:val="left"/>
            </w:pPr>
            <w:r>
              <w:t xml:space="preserve">Details</w:t>
            </w:r>
          </w:p>
        </w:tc>
      </w:tr>
      <w:tr>
        <w:tc>
          <w:p>
            <w:pPr>
              <w:pStyle w:val="Compact"/>
              <w:jc w:val="left"/>
            </w:pPr>
            <w:r>
              <w:t xml:space="preserve">Articles of association</w:t>
            </w:r>
          </w:p>
        </w:tc>
        <w:tc>
          <w:p>
            <w:pPr>
              <w:pStyle w:val="Compact"/>
              <w:jc w:val="left"/>
            </w:pPr>
            <w:r>
              <w:t xml:space="preserve">Notarised by the Ministry of Justice — Department of Authentication, No. 3073 of 2026, dated 22/07/2026</w:t>
            </w:r>
          </w:p>
        </w:tc>
      </w:tr>
      <w:tr>
        <w:tc>
          <w:p>
            <w:pPr>
              <w:pStyle w:val="Compact"/>
              <w:jc w:val="left"/>
            </w:pPr>
            <w:r>
              <w:t xml:space="preserve">Duration (Art. 3)</w:t>
            </w:r>
          </w:p>
        </w:tc>
        <w:tc>
          <w:p>
            <w:pPr>
              <w:pStyle w:val="Compact"/>
              <w:jc w:val="left"/>
            </w:pPr>
            <w:r>
              <w:t xml:space="preserve">99 years from the date of the company contract, automatically renewed</w:t>
            </w:r>
          </w:p>
        </w:tc>
      </w:tr>
      <w:tr>
        <w:tc>
          <w:p>
            <w:pPr>
              <w:pStyle w:val="Compact"/>
              <w:jc w:val="left"/>
            </w:pPr>
            <w:r>
              <w:t xml:space="preserve">Head office (Art. 2)</w:t>
            </w:r>
          </w:p>
        </w:tc>
        <w:tc>
          <w:p>
            <w:pPr>
              <w:pStyle w:val="Compact"/>
              <w:jc w:val="left"/>
            </w:pPr>
            <w:r>
              <w:t xml:space="preserve">State of Kuwait; the registered address in B.3 is the company's legal domicile for notices</w:t>
            </w:r>
          </w:p>
        </w:tc>
      </w:tr>
      <w:tr>
        <w:tc>
          <w:p>
            <w:pPr>
              <w:pStyle w:val="Compact"/>
              <w:jc w:val="left"/>
            </w:pPr>
            <w:r>
              <w:t xml:space="preserve">Authorised signatory</w:t>
            </w:r>
          </w:p>
        </w:tc>
        <w:tc>
          <w:p>
            <w:pPr>
              <w:pStyle w:val="Compact"/>
              <w:jc w:val="left"/>
            </w:pPr>
            <w:r>
              <w:rPr>
                <w:b/>
              </w:rPr>
              <w:t xml:space="preserve">Mr. Mohammad Abdullah Hammad Al-Ajmi</w:t>
            </w:r>
            <w:r>
              <w:t xml:space="preserve"> </w:t>
            </w:r>
            <w:r>
              <w:t xml:space="preserve">— manager, empowered under Articles 8–9 to sign</w:t>
            </w:r>
            <w:r>
              <w:t xml:space="preserve"> </w:t>
            </w:r>
            <w:r>
              <w:rPr>
                <w:b/>
              </w:rPr>
              <w:t xml:space="preserve">severally</w:t>
            </w:r>
            <w:r>
              <w:t xml:space="preserve"> </w:t>
            </w:r>
            <w:r>
              <w:t xml:space="preserve">and bind the company</w:t>
            </w:r>
          </w:p>
        </w:tc>
      </w:tr>
      <w:tr>
        <w:tc>
          <w:p>
            <w:pPr>
              <w:pStyle w:val="Compact"/>
              <w:jc w:val="left"/>
            </w:pPr>
            <w:r>
              <w:t xml:space="preserve">Regulatory approvals</w:t>
            </w:r>
          </w:p>
        </w:tc>
        <w:tc>
          <w:p>
            <w:pPr>
              <w:pStyle w:val="Compact"/>
              <w:jc w:val="left"/>
            </w:pPr>
            <w:r>
              <w:t xml:space="preserve">Kuwait Municipality No. 1454538 (30/07/2026); Ministry of Justice No. 3073 (22/07/2026)</w:t>
            </w:r>
          </w:p>
        </w:tc>
      </w:tr>
    </w:tbl>
    <w:p>
      <w:pPr>
        <w:pStyle w:val="Heading3"/>
      </w:pPr>
      <w:bookmarkStart w:id="103" w:name="ب.2-التأسيس-وصلاحية-التوقيع"/>
      <w:r>
        <w:t xml:space="preserve">ب.2 التأسيس وصلاحية التوقيع</w:t>
      </w:r>
      <w:bookmarkEnd w:id="103"/>
    </w:p>
    <w:tbl>
      <w:tblPr>
        <w:tblStyle w:val="Table"/>
        <w:tblW w:type="pct" w:w="0.0"/>
        <w:tblLook w:firstRow="1"/>
      </w:tblPr>
      <w:tblGrid/>
      <w:tr>
        <w:trPr>
          <w:cnfStyle w:firstRow="1"/>
        </w:trPr>
        <w:tc>
          <w:tcPr>
            <w:tcBorders>
              <w:bottom w:val="single"/>
            </w:tcBorders>
            <w:vAlign w:val="bottom"/>
          </w:tcPr>
          <w:p>
            <w:pPr>
              <w:pStyle w:val="Compact"/>
              <w:jc w:val="left"/>
            </w:pPr>
            <w:r>
              <w:t xml:space="preserve">البيان</w:t>
            </w:r>
          </w:p>
        </w:tc>
        <w:tc>
          <w:tcPr>
            <w:tcBorders>
              <w:bottom w:val="single"/>
            </w:tcBorders>
            <w:vAlign w:val="bottom"/>
          </w:tcPr>
          <w:p>
            <w:pPr>
              <w:pStyle w:val="Compact"/>
              <w:jc w:val="left"/>
            </w:pPr>
            <w:r>
              <w:t xml:space="preserve">التفاصيل</w:t>
            </w:r>
          </w:p>
        </w:tc>
      </w:tr>
      <w:tr>
        <w:tc>
          <w:p>
            <w:pPr>
              <w:pStyle w:val="Compact"/>
              <w:jc w:val="left"/>
            </w:pPr>
            <w:r>
              <w:t xml:space="preserve">عقد التأسيس</w:t>
            </w:r>
          </w:p>
        </w:tc>
        <w:tc>
          <w:p>
            <w:pPr>
              <w:pStyle w:val="Compact"/>
              <w:jc w:val="left"/>
            </w:pPr>
            <w:r>
              <w:t xml:space="preserve">موثّق لدى وزارة العدل — إدارة التوثيق، رقم 3073 لسنة 2026، بتاريخ 22/07/2026</w:t>
            </w:r>
          </w:p>
        </w:tc>
      </w:tr>
      <w:tr>
        <w:tc>
          <w:p>
            <w:pPr>
              <w:pStyle w:val="Compact"/>
              <w:jc w:val="left"/>
            </w:pPr>
            <w:r>
              <w:t xml:space="preserve">المدة (مادة 3)</w:t>
            </w:r>
          </w:p>
        </w:tc>
        <w:tc>
          <w:p>
            <w:pPr>
              <w:pStyle w:val="Compact"/>
              <w:jc w:val="left"/>
            </w:pPr>
            <w:r>
              <w:t xml:space="preserve">99 سنة من تاريخ عقد الشركة، تُمدّد تلقائياً</w:t>
            </w:r>
          </w:p>
        </w:tc>
      </w:tr>
      <w:tr>
        <w:tc>
          <w:p>
            <w:pPr>
              <w:pStyle w:val="Compact"/>
              <w:jc w:val="left"/>
            </w:pPr>
            <w:r>
              <w:t xml:space="preserve">المركز الرئيسي (مادة 2)</w:t>
            </w:r>
          </w:p>
        </w:tc>
        <w:tc>
          <w:p>
            <w:pPr>
              <w:pStyle w:val="Compact"/>
              <w:jc w:val="left"/>
            </w:pPr>
            <w:r>
              <w:t xml:space="preserve">دولة الكويت؛ والعنوان المسجّل في (ب.3) هو الموطن القانوني للشركة في المراسلات</w:t>
            </w:r>
          </w:p>
        </w:tc>
      </w:tr>
      <w:tr>
        <w:tc>
          <w:p>
            <w:pPr>
              <w:pStyle w:val="Compact"/>
              <w:jc w:val="left"/>
            </w:pPr>
            <w:r>
              <w:t xml:space="preserve">المفوّض بالتوقيع</w:t>
            </w:r>
          </w:p>
        </w:tc>
        <w:tc>
          <w:p>
            <w:pPr>
              <w:pStyle w:val="Compact"/>
              <w:jc w:val="left"/>
            </w:pPr>
            <w:r>
              <w:rPr>
                <w:b/>
              </w:rPr>
              <w:t xml:space="preserve">السيد / محمد عبدالله حماد العجمي</w:t>
            </w:r>
            <w:r>
              <w:t xml:space="preserve"> </w:t>
            </w:r>
            <w:r>
              <w:t xml:space="preserve">— مدير الشركة، ومخوّل بموجب المادتين (8) و(9) بالتوقيع</w:t>
            </w:r>
            <w:r>
              <w:t xml:space="preserve"> </w:t>
            </w:r>
            <w:r>
              <w:rPr>
                <w:b/>
              </w:rPr>
              <w:t xml:space="preserve">منفرداً</w:t>
            </w:r>
            <w:r>
              <w:t xml:space="preserve"> </w:t>
            </w:r>
            <w:r>
              <w:t xml:space="preserve">وإلزام الشركة</w:t>
            </w:r>
          </w:p>
        </w:tc>
      </w:tr>
      <w:tr>
        <w:tc>
          <w:p>
            <w:pPr>
              <w:pStyle w:val="Compact"/>
              <w:jc w:val="left"/>
            </w:pPr>
            <w:r>
              <w:t xml:space="preserve">جهات الموافقة</w:t>
            </w:r>
          </w:p>
        </w:tc>
        <w:tc>
          <w:p>
            <w:pPr>
              <w:pStyle w:val="Compact"/>
              <w:jc w:val="left"/>
            </w:pPr>
            <w:r>
              <w:t xml:space="preserve">بلدية الكويت رقم 1454538 (30/07/2026)؛ وزارة العدل رقم 3073 (22/07/2026)</w:t>
            </w:r>
          </w:p>
        </w:tc>
      </w:tr>
    </w:tbl>
    <w:p>
      <w:pPr>
        <w:pStyle w:val="Heading2"/>
      </w:pPr>
      <w:bookmarkStart w:id="104" w:name="X16b57ff88d9f692436b7373f6253c039f998080"/>
      <w:r>
        <w:t xml:space="preserve">Annex B (continued) — Address, Contact &amp; Confidentiality</w:t>
      </w:r>
      <w:bookmarkEnd w:id="104"/>
    </w:p>
    <w:p>
      <w:pPr>
        <w:pStyle w:val="Heading2"/>
      </w:pPr>
      <w:bookmarkStart w:id="105" w:name="الملحق-ب-تابع-العنوان-والاتصال-والسرية"/>
      <w:r>
        <w:t xml:space="preserve">الملحق (ب) تابع — العنوان والاتصال والسرية</w:t>
      </w:r>
      <w:bookmarkEnd w:id="105"/>
    </w:p>
    <w:p>
      <w:pPr>
        <w:pStyle w:val="Heading3"/>
      </w:pPr>
      <w:bookmarkStart w:id="106" w:name="Xcf2fdc095196343163767ce99fad30d967e1dd5"/>
      <w:r>
        <w:t xml:space="preserve">B.3 Registered address (address for notices)</w:t>
      </w:r>
      <w:bookmarkEnd w:id="106"/>
    </w:p>
    <w:tbl>
      <w:tblPr>
        <w:tblStyle w:val="Table"/>
        <w:tblW w:type="pct" w:w="0.0"/>
        <w:tblLook w:firstRow="1"/>
      </w:tblPr>
      <w:tblGrid/>
      <w:tr>
        <w:trPr>
          <w:cnfStyle w:firstRow="1"/>
        </w:trPr>
        <w:tc>
          <w:tcPr>
            <w:tcBorders>
              <w:bottom w:val="single"/>
            </w:tcBorders>
            <w:vAlign w:val="bottom"/>
          </w:tcPr>
          <w:p>
            <w:pPr>
              <w:pStyle w:val="Compact"/>
              <w:jc w:val="left"/>
            </w:pPr>
            <w:r>
              <w:t xml:space="preserve">Particular</w:t>
            </w:r>
          </w:p>
        </w:tc>
        <w:tc>
          <w:tcPr>
            <w:tcBorders>
              <w:bottom w:val="single"/>
            </w:tcBorders>
            <w:vAlign w:val="bottom"/>
          </w:tcPr>
          <w:p>
            <w:pPr>
              <w:pStyle w:val="Compact"/>
              <w:jc w:val="left"/>
            </w:pPr>
            <w:r>
              <w:t xml:space="preserve">Details</w:t>
            </w:r>
          </w:p>
        </w:tc>
      </w:tr>
      <w:tr>
        <w:tc>
          <w:p>
            <w:pPr>
              <w:pStyle w:val="Compact"/>
              <w:jc w:val="left"/>
            </w:pPr>
            <w:r>
              <w:t xml:space="preserve">Governorate / Area</w:t>
            </w:r>
          </w:p>
        </w:tc>
        <w:tc>
          <w:p>
            <w:pPr>
              <w:pStyle w:val="Compact"/>
              <w:jc w:val="left"/>
            </w:pPr>
            <w:r>
              <w:t xml:space="preserve">Capital Governorate — Qibla</w:t>
            </w:r>
          </w:p>
        </w:tc>
      </w:tr>
      <w:tr>
        <w:tc>
          <w:p>
            <w:pPr>
              <w:pStyle w:val="Compact"/>
              <w:jc w:val="left"/>
            </w:pPr>
            <w:r>
              <w:t xml:space="preserve">Block / Plot</w:t>
            </w:r>
          </w:p>
        </w:tc>
        <w:tc>
          <w:p>
            <w:pPr>
              <w:pStyle w:val="Compact"/>
              <w:jc w:val="left"/>
            </w:pPr>
            <w:r>
              <w:t xml:space="preserve">Block 013 — Plot 000028</w:t>
            </w:r>
          </w:p>
        </w:tc>
      </w:tr>
      <w:tr>
        <w:tc>
          <w:p>
            <w:pPr>
              <w:pStyle w:val="Compact"/>
              <w:jc w:val="left"/>
            </w:pPr>
            <w:r>
              <w:t xml:space="preserve">Street</w:t>
            </w:r>
          </w:p>
        </w:tc>
        <w:tc>
          <w:p>
            <w:pPr>
              <w:pStyle w:val="Compact"/>
              <w:jc w:val="left"/>
            </w:pPr>
            <w:r>
              <w:t xml:space="preserve">Fahad Al-Salem Street</w:t>
            </w:r>
          </w:p>
        </w:tc>
      </w:tr>
      <w:tr>
        <w:tc>
          <w:p>
            <w:pPr>
              <w:pStyle w:val="Compact"/>
              <w:jc w:val="left"/>
            </w:pPr>
            <w:r>
              <w:t xml:space="preserve">Building</w:t>
            </w:r>
          </w:p>
        </w:tc>
        <w:tc>
          <w:p>
            <w:pPr>
              <w:pStyle w:val="Compact"/>
              <w:jc w:val="left"/>
            </w:pPr>
            <w:r>
              <w:t xml:space="preserve">Ministry of Awqaf Bldg. No. 2405 — Al Salam Tower</w:t>
            </w:r>
          </w:p>
        </w:tc>
      </w:tr>
      <w:tr>
        <w:tc>
          <w:p>
            <w:pPr>
              <w:pStyle w:val="Compact"/>
              <w:jc w:val="left"/>
            </w:pPr>
            <w:r>
              <w:t xml:space="preserve">Floor / Unit</w:t>
            </w:r>
          </w:p>
        </w:tc>
        <w:tc>
          <w:p>
            <w:pPr>
              <w:pStyle w:val="Compact"/>
              <w:jc w:val="left"/>
            </w:pPr>
            <w:r>
              <w:t xml:space="preserve">16th floor — commercial office, unit No. 8</w:t>
            </w:r>
          </w:p>
        </w:tc>
      </w:tr>
    </w:tbl>
    <w:p>
      <w:pPr>
        <w:pStyle w:val="Heading3"/>
      </w:pPr>
      <w:bookmarkStart w:id="107" w:name="ب.3-العنوان-المسجل-عنوان-المراسلات"/>
      <w:r>
        <w:t xml:space="preserve">ب.3 العنوان المسجّل (عنوان المراسلات)</w:t>
      </w:r>
      <w:bookmarkEnd w:id="107"/>
    </w:p>
    <w:tbl>
      <w:tblPr>
        <w:tblStyle w:val="Table"/>
        <w:tblW w:type="pct" w:w="0.0"/>
        <w:tblLook w:firstRow="1"/>
      </w:tblPr>
      <w:tblGrid/>
      <w:tr>
        <w:trPr>
          <w:cnfStyle w:firstRow="1"/>
        </w:trPr>
        <w:tc>
          <w:tcPr>
            <w:tcBorders>
              <w:bottom w:val="single"/>
            </w:tcBorders>
            <w:vAlign w:val="bottom"/>
          </w:tcPr>
          <w:p>
            <w:pPr>
              <w:pStyle w:val="Compact"/>
              <w:jc w:val="left"/>
            </w:pPr>
            <w:r>
              <w:t xml:space="preserve">البيان</w:t>
            </w:r>
          </w:p>
        </w:tc>
        <w:tc>
          <w:tcPr>
            <w:tcBorders>
              <w:bottom w:val="single"/>
            </w:tcBorders>
            <w:vAlign w:val="bottom"/>
          </w:tcPr>
          <w:p>
            <w:pPr>
              <w:pStyle w:val="Compact"/>
              <w:jc w:val="left"/>
            </w:pPr>
            <w:r>
              <w:t xml:space="preserve">التفاصيل</w:t>
            </w:r>
          </w:p>
        </w:tc>
      </w:tr>
      <w:tr>
        <w:tc>
          <w:p>
            <w:pPr>
              <w:pStyle w:val="Compact"/>
              <w:jc w:val="left"/>
            </w:pPr>
            <w:r>
              <w:t xml:space="preserve">المحافظة / المنطقة</w:t>
            </w:r>
          </w:p>
        </w:tc>
        <w:tc>
          <w:p>
            <w:pPr>
              <w:pStyle w:val="Compact"/>
              <w:jc w:val="left"/>
            </w:pPr>
            <w:r>
              <w:t xml:space="preserve">محافظة العاصمة — القبلة</w:t>
            </w:r>
          </w:p>
        </w:tc>
      </w:tr>
      <w:tr>
        <w:tc>
          <w:p>
            <w:pPr>
              <w:pStyle w:val="Compact"/>
              <w:jc w:val="left"/>
            </w:pPr>
            <w:r>
              <w:t xml:space="preserve">القطعة / القسيمة</w:t>
            </w:r>
          </w:p>
        </w:tc>
        <w:tc>
          <w:p>
            <w:pPr>
              <w:pStyle w:val="Compact"/>
              <w:jc w:val="left"/>
            </w:pPr>
            <w:r>
              <w:t xml:space="preserve">القطعة 013 — القسيمة 000028</w:t>
            </w:r>
          </w:p>
        </w:tc>
      </w:tr>
      <w:tr>
        <w:tc>
          <w:p>
            <w:pPr>
              <w:pStyle w:val="Compact"/>
              <w:jc w:val="left"/>
            </w:pPr>
            <w:r>
              <w:t xml:space="preserve">الشارع</w:t>
            </w:r>
          </w:p>
        </w:tc>
        <w:tc>
          <w:p>
            <w:pPr>
              <w:pStyle w:val="Compact"/>
              <w:jc w:val="left"/>
            </w:pPr>
            <w:r>
              <w:t xml:space="preserve">شارع فهد السالم</w:t>
            </w:r>
          </w:p>
        </w:tc>
      </w:tr>
      <w:tr>
        <w:tc>
          <w:p>
            <w:pPr>
              <w:pStyle w:val="Compact"/>
              <w:jc w:val="left"/>
            </w:pPr>
            <w:r>
              <w:t xml:space="preserve">المبنى</w:t>
            </w:r>
          </w:p>
        </w:tc>
        <w:tc>
          <w:p>
            <w:pPr>
              <w:pStyle w:val="Compact"/>
              <w:jc w:val="left"/>
            </w:pPr>
            <w:r>
              <w:t xml:space="preserve">مبنى وزارة الأوقاف رقم 2405 — برج السلام</w:t>
            </w:r>
          </w:p>
        </w:tc>
      </w:tr>
      <w:tr>
        <w:tc>
          <w:p>
            <w:pPr>
              <w:pStyle w:val="Compact"/>
              <w:jc w:val="left"/>
            </w:pPr>
            <w:r>
              <w:t xml:space="preserve">الدور / الوحدة</w:t>
            </w:r>
          </w:p>
        </w:tc>
        <w:tc>
          <w:p>
            <w:pPr>
              <w:pStyle w:val="Compact"/>
              <w:jc w:val="left"/>
            </w:pPr>
            <w:r>
              <w:t xml:space="preserve">الدور 16 — مكتب تجاري، وحدة رقم 8</w:t>
            </w:r>
          </w:p>
        </w:tc>
      </w:tr>
    </w:tbl>
    <w:p>
      <w:pPr>
        <w:pStyle w:val="Heading3"/>
      </w:pPr>
      <w:bookmarkStart w:id="108" w:name="b.4-official-contact-channels"/>
      <w:r>
        <w:t xml:space="preserve">B.4 Official contact channels</w:t>
      </w:r>
      <w:bookmarkEnd w:id="108"/>
    </w:p>
    <w:tbl>
      <w:tblPr>
        <w:tblStyle w:val="Table"/>
        <w:tblW w:type="pct" w:w="0.0"/>
        <w:tblLook w:firstRow="1"/>
      </w:tblPr>
      <w:tblGrid/>
      <w:tr>
        <w:trPr>
          <w:cnfStyle w:firstRow="1"/>
        </w:trPr>
        <w:tc>
          <w:tcPr>
            <w:tcBorders>
              <w:bottom w:val="single"/>
            </w:tcBorders>
            <w:vAlign w:val="bottom"/>
          </w:tcPr>
          <w:p>
            <w:pPr>
              <w:pStyle w:val="Compact"/>
              <w:jc w:val="left"/>
            </w:pPr>
            <w:r>
              <w:t xml:space="preserve">Particular</w:t>
            </w:r>
          </w:p>
        </w:tc>
        <w:tc>
          <w:tcPr>
            <w:tcBorders>
              <w:bottom w:val="single"/>
            </w:tcBorders>
            <w:vAlign w:val="bottom"/>
          </w:tcPr>
          <w:p>
            <w:pPr>
              <w:pStyle w:val="Compact"/>
              <w:jc w:val="left"/>
            </w:pPr>
            <w:r>
              <w:t xml:space="preserve">Details</w:t>
            </w:r>
          </w:p>
        </w:tc>
      </w:tr>
      <w:tr>
        <w:tc>
          <w:p>
            <w:pPr>
              <w:pStyle w:val="Compact"/>
              <w:jc w:val="left"/>
            </w:pPr>
            <w:r>
              <w:t xml:space="preserve">Email</w:t>
            </w:r>
          </w:p>
        </w:tc>
        <w:tc>
          <w:p>
            <w:pPr>
              <w:pStyle w:val="Compact"/>
              <w:jc w:val="left"/>
            </w:pPr>
            <w:r>
              <w:t xml:space="preserve">info@dexor.ae</w:t>
            </w:r>
          </w:p>
        </w:tc>
      </w:tr>
      <w:tr>
        <w:tc>
          <w:p>
            <w:pPr>
              <w:pStyle w:val="Compact"/>
              <w:jc w:val="left"/>
            </w:pPr>
            <w:r>
              <w:t xml:space="preserve">Telephone</w:t>
            </w:r>
          </w:p>
        </w:tc>
        <w:tc>
          <w:p>
            <w:pPr>
              <w:pStyle w:val="Compact"/>
              <w:jc w:val="left"/>
            </w:pPr>
            <w:r>
              <w:t xml:space="preserve">+20 15 501 42 885</w:t>
            </w:r>
          </w:p>
        </w:tc>
      </w:tr>
      <w:tr>
        <w:tc>
          <w:p>
            <w:pPr>
              <w:pStyle w:val="Compact"/>
              <w:jc w:val="left"/>
            </w:pPr>
            <w:r>
              <w:t xml:space="preserve">Website</w:t>
            </w:r>
          </w:p>
        </w:tc>
        <w:tc>
          <w:p>
            <w:pPr>
              <w:pStyle w:val="Compact"/>
              <w:jc w:val="left"/>
            </w:pPr>
            <w:r>
              <w:t xml:space="preserve">www.dexor.ae</w:t>
            </w:r>
          </w:p>
        </w:tc>
      </w:tr>
      <w:tr>
        <w:tc>
          <w:p>
            <w:pPr>
              <w:pStyle w:val="Compact"/>
              <w:jc w:val="left"/>
            </w:pPr>
            <w:r>
              <w:t xml:space="preserve">Brand</w:t>
            </w:r>
          </w:p>
        </w:tc>
        <w:tc>
          <w:p>
            <w:pPr>
              <w:pStyle w:val="Compact"/>
              <w:jc w:val="left"/>
            </w:pPr>
            <w:r>
              <w:t xml:space="preserve">DEXOR — “Systems with Souls”</w:t>
            </w:r>
          </w:p>
        </w:tc>
      </w:tr>
    </w:tbl>
    <w:p>
      <w:pPr>
        <w:pStyle w:val="Heading3"/>
      </w:pPr>
      <w:bookmarkStart w:id="109" w:name="ب.4-قنوات-الاتصال-الرسمية"/>
      <w:r>
        <w:t xml:space="preserve">ب.4 قنوات الاتصال الرسمية</w:t>
      </w:r>
      <w:bookmarkEnd w:id="109"/>
    </w:p>
    <w:tbl>
      <w:tblPr>
        <w:tblStyle w:val="Table"/>
        <w:tblW w:type="pct" w:w="0.0"/>
        <w:tblLook w:firstRow="1"/>
      </w:tblPr>
      <w:tblGrid/>
      <w:tr>
        <w:trPr>
          <w:cnfStyle w:firstRow="1"/>
        </w:trPr>
        <w:tc>
          <w:tcPr>
            <w:tcBorders>
              <w:bottom w:val="single"/>
            </w:tcBorders>
            <w:vAlign w:val="bottom"/>
          </w:tcPr>
          <w:p>
            <w:pPr>
              <w:pStyle w:val="Compact"/>
              <w:jc w:val="left"/>
            </w:pPr>
            <w:r>
              <w:t xml:space="preserve">البيان</w:t>
            </w:r>
          </w:p>
        </w:tc>
        <w:tc>
          <w:tcPr>
            <w:tcBorders>
              <w:bottom w:val="single"/>
            </w:tcBorders>
            <w:vAlign w:val="bottom"/>
          </w:tcPr>
          <w:p>
            <w:pPr>
              <w:pStyle w:val="Compact"/>
              <w:jc w:val="left"/>
            </w:pPr>
            <w:r>
              <w:t xml:space="preserve">التفاصيل</w:t>
            </w:r>
          </w:p>
        </w:tc>
      </w:tr>
      <w:tr>
        <w:tc>
          <w:p>
            <w:pPr>
              <w:pStyle w:val="Compact"/>
              <w:jc w:val="left"/>
            </w:pPr>
            <w:r>
              <w:t xml:space="preserve">البريد الإلكتروني</w:t>
            </w:r>
          </w:p>
        </w:tc>
        <w:tc>
          <w:p>
            <w:pPr>
              <w:pStyle w:val="Compact"/>
              <w:jc w:val="left"/>
            </w:pPr>
            <w:r>
              <w:t xml:space="preserve">info@dexor.ae</w:t>
            </w:r>
          </w:p>
        </w:tc>
      </w:tr>
      <w:tr>
        <w:tc>
          <w:p>
            <w:pPr>
              <w:pStyle w:val="Compact"/>
              <w:jc w:val="left"/>
            </w:pPr>
            <w:r>
              <w:t xml:space="preserve">الهاتف</w:t>
            </w:r>
          </w:p>
        </w:tc>
        <w:tc>
          <w:p>
            <w:pPr>
              <w:pStyle w:val="Compact"/>
              <w:jc w:val="left"/>
            </w:pPr>
            <w:r>
              <w:t xml:space="preserve">+20 15 501 42 885</w:t>
            </w:r>
          </w:p>
        </w:tc>
      </w:tr>
      <w:tr>
        <w:tc>
          <w:p>
            <w:pPr>
              <w:pStyle w:val="Compact"/>
              <w:jc w:val="left"/>
            </w:pPr>
            <w:r>
              <w:t xml:space="preserve">الموقع الإلكتروني</w:t>
            </w:r>
          </w:p>
        </w:tc>
        <w:tc>
          <w:p>
            <w:pPr>
              <w:pStyle w:val="Compact"/>
              <w:jc w:val="left"/>
            </w:pPr>
            <w:r>
              <w:t xml:space="preserve">www.dexor.ae</w:t>
            </w:r>
          </w:p>
        </w:tc>
      </w:tr>
      <w:tr>
        <w:tc>
          <w:p>
            <w:pPr>
              <w:pStyle w:val="Compact"/>
              <w:jc w:val="left"/>
            </w:pPr>
            <w:r>
              <w:t xml:space="preserve">العلامة التجارية</w:t>
            </w:r>
          </w:p>
        </w:tc>
        <w:tc>
          <w:p>
            <w:pPr>
              <w:pStyle w:val="Compact"/>
              <w:jc w:val="left"/>
            </w:pPr>
            <w:r>
              <w:t xml:space="preserve">DEXOR — “Systems with Souls”</w:t>
            </w:r>
          </w:p>
        </w:tc>
      </w:tr>
    </w:tbl>
    <w:p>
      <w:pPr>
        <w:pStyle w:val="Heading3"/>
      </w:pPr>
      <w:bookmarkStart w:id="110" w:name="b.5-confidential-corporate-information"/>
      <w:r>
        <w:t xml:space="preserve">B.5 Confidential corporate information</w:t>
      </w:r>
      <w:bookmarkEnd w:id="110"/>
    </w:p>
    <w:p>
      <w:pPr>
        <w:pStyle w:val="FirstParagraph"/>
      </w:pPr>
      <w:r>
        <w:t xml:space="preserve">The Service Provider’s share capital and shareholding structure, its partners’ personal identification data, its company civil, central and file reference numbers, and its financial, banking and incorporation payment records are</w:t>
      </w:r>
      <w:r>
        <w:t xml:space="preserve"> </w:t>
      </w:r>
      <w:r>
        <w:rPr>
          <w:b/>
        </w:rPr>
        <w:t xml:space="preserve">confidential</w:t>
      </w:r>
      <w:r>
        <w:t xml:space="preserve"> </w:t>
      </w:r>
      <w:r>
        <w:t xml:space="preserve">and are not disclosed in this Agreement. Where a Client’s procurement or KYC process genuinely requires any of them, they are provided directly to that Client under a mutual non-disclosure undertaking.</w:t>
      </w:r>
    </w:p>
    <w:p>
      <w:pPr>
        <w:pStyle w:val="Heading3"/>
      </w:pPr>
      <w:bookmarkStart w:id="111" w:name="ب.5-المعلومات-المؤسسية-السرية"/>
      <w:r>
        <w:t xml:space="preserve">ب.5 المعلومات المؤسسية السرية</w:t>
      </w:r>
      <w:bookmarkEnd w:id="111"/>
    </w:p>
    <w:p>
      <w:pPr>
        <w:pStyle w:val="FirstParagraph"/>
      </w:pPr>
      <w:r>
        <w:t xml:space="preserve">إن رأس مال مزود الخدمة وهيكل ملكيته، والبيانات الشخصية لشركائه، وأرقامه المدنية والمركزية وأرقام ملفاته، وسجلاته المالية والمصرفية وسجلات مدفوعات التأسيس، تُعدّ</w:t>
      </w:r>
      <w:r>
        <w:t xml:space="preserve"> </w:t>
      </w:r>
      <w:r>
        <w:rPr>
          <w:b/>
        </w:rPr>
        <w:t xml:space="preserve">معلومات سرية</w:t>
      </w:r>
      <w:r>
        <w:t xml:space="preserve"> </w:t>
      </w:r>
      <w:r>
        <w:t xml:space="preserve">ولا يتم الإفصاح عنها في هذه الاتفاقية. وفي حال احتاجت إجراءات الشراء أو «اعرف عميلك» لدى العميل أياً منها فعلياً، تُقدَّم له مباشرةً بموجب تعهّد متبادل بعدم الإفصاح.</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 ERP Implementation Agreement (EN/AR) · DX-2026-013</dc:title>
  <dc:creator/>
  <dc:language>en</dc:language>
  <cp:keywords/>
  <dcterms:created xsi:type="dcterms:W3CDTF">2026-08-15T13:03:01Z</dcterms:created>
  <dcterms:modified xsi:type="dcterms:W3CDTF">2026-08-15T13:03:01Z</dcterms:modified>
</cp:coreProperties>
</file>

<file path=docProps/custom.xml><?xml version="1.0" encoding="utf-8"?>
<Properties xmlns="http://schemas.openxmlformats.org/officeDocument/2006/custom-properties" xmlns:vt="http://schemas.openxmlformats.org/officeDocument/2006/docPropsVTypes"/>
</file>