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عرض</w:t>
      </w:r>
      <w:r>
        <w:t xml:space="preserve"> </w:t>
      </w:r>
      <w:r>
        <w:t xml:space="preserve">سعر</w:t>
      </w:r>
      <w:r>
        <w:t xml:space="preserve"> </w:t>
      </w:r>
      <w:r>
        <w:t xml:space="preserve">QT-2026-0812-001</w:t>
      </w:r>
      <w:r>
        <w:t xml:space="preserve"> </w:t>
      </w:r>
      <w:r>
        <w:t xml:space="preserve">—</w:t>
      </w:r>
      <w:r>
        <w:t xml:space="preserve"> </w:t>
      </w:r>
      <w:r>
        <w:t xml:space="preserve">شركة</w:t>
      </w:r>
      <w:r>
        <w:t xml:space="preserve"> </w:t>
      </w:r>
      <w:r>
        <w:t xml:space="preserve">لؤلؤة</w:t>
      </w:r>
      <w:r>
        <w:t xml:space="preserve"> </w:t>
      </w:r>
      <w:r>
        <w:t xml:space="preserve">الشايع</w:t>
      </w:r>
    </w:p>
    <w:p>
      <w:pPr>
        <w:pStyle w:val="Heading1"/>
      </w:pPr>
      <w:bookmarkStart w:id="20" w:name="عرض-سعر-تنفيذ-نظام-odoo-18-erp"/>
      <w:r>
        <w:t xml:space="preserve">عرض سعر — تنفيذ نظام Odoo 18 ERP</w:t>
      </w:r>
      <w:bookmarkEnd w:id="20"/>
    </w:p>
    <w:p>
      <w:pPr>
        <w:pStyle w:val="FirstParagraph"/>
      </w:pPr>
      <w:r>
        <w:rPr>
          <w:b/>
        </w:rPr>
        <w:t xml:space="preserve">مرجع عرض السعر:</w:t>
      </w:r>
      <w:r>
        <w:t xml:space="preserve"> </w:t>
      </w:r>
      <w:r>
        <w:t xml:space="preserve">QT-2026-0812-001</w:t>
      </w:r>
    </w:p>
    <w:p>
      <w:pPr>
        <w:pStyle w:val="BodyText"/>
      </w:pPr>
      <w:r>
        <w:rPr>
          <w:b/>
        </w:rPr>
        <w:t xml:space="preserve">أُعدّ لصالح:</w:t>
      </w:r>
      <w:r>
        <w:t xml:space="preserve"> </w:t>
      </w:r>
      <w:r>
        <w:t xml:space="preserve">شركة لؤلؤة الشايع — دولة الكويت</w:t>
      </w:r>
    </w:p>
    <w:p>
      <w:pPr>
        <w:pStyle w:val="BodyText"/>
      </w:pPr>
      <w:r>
        <w:rPr>
          <w:b/>
        </w:rPr>
        <w:t xml:space="preserve">النشاط:</w:t>
      </w:r>
      <w:r>
        <w:t xml:space="preserve"> </w:t>
      </w:r>
      <w:r>
        <w:t xml:space="preserve">مقاولات عامة — تشييد المباني وبناء القسائم السكنية والمناقصات الحكومية</w:t>
      </w:r>
    </w:p>
    <w:p>
      <w:pPr>
        <w:pStyle w:val="BodyText"/>
      </w:pPr>
      <w:r>
        <w:rPr>
          <w:b/>
        </w:rPr>
        <w:t xml:space="preserve">التاريخ:</w:t>
      </w:r>
      <w:r>
        <w:t xml:space="preserve"> </w:t>
      </w:r>
      <w:r>
        <w:t xml:space="preserve">12 أغسطس 2026 —</w:t>
      </w:r>
      <w:r>
        <w:t xml:space="preserve"> </w:t>
      </w:r>
      <w:r>
        <w:rPr>
          <w:b/>
        </w:rPr>
        <w:t xml:space="preserve">صالح حتى:</w:t>
      </w:r>
      <w:r>
        <w:t xml:space="preserve"> </w:t>
      </w:r>
      <w:r>
        <w:t xml:space="preserve">20 أغسطس 2026</w:t>
      </w:r>
    </w:p>
    <w:p>
      <w:pPr>
        <w:pStyle w:val="BodyText"/>
      </w:pPr>
      <w:r>
        <w:rPr>
          <w:b/>
        </w:rPr>
        <w:t xml:space="preserve">مُقدَّم من:</w:t>
      </w:r>
      <w:r>
        <w:t xml:space="preserve"> </w:t>
      </w:r>
      <w:r>
        <w:t xml:space="preserve">شركة ديكسور للحلول المتكاملة الحاسوبية ذ.م.م — DEXOR، Systems with Souls — شريك أودو المعتمد</w:t>
      </w:r>
    </w:p>
    <w:p>
      <w:pPr>
        <w:pStyle w:val="BodyText"/>
      </w:pPr>
      <w:r>
        <w:t xml:space="preserve">info@dexor.ae | www.dexor.ae | ‎+20 15 501 42 885</w:t>
      </w:r>
    </w:p>
    <w:p>
      <w:pPr>
        <w:pStyle w:val="Heading2"/>
      </w:pPr>
      <w:bookmarkStart w:id="21" w:name="الملخص-التنفيذي"/>
      <w:r>
        <w:t xml:space="preserve">الملخص التنفيذي</w:t>
      </w:r>
      <w:bookmarkEnd w:id="21"/>
    </w:p>
    <w:p>
      <w:pPr>
        <w:pStyle w:val="FirstParagraph"/>
      </w:pPr>
      <w:r>
        <w:t xml:space="preserve">شركة لؤلؤة الشايع شركة مقاولات عامة تعمل في تشييد المباني وبناء القسائم السكنية، وتدخل في المناقصات الحكومية مع جهات الدولة، ولديها مهندسون ومقاولو باطن ومعدات وآليات وعمالة كهرباء وتنفيذ. والطلب الجوهري الذي بُني عليه هذا العرض هو ما ذكره صاحب الشركة حرفياً:</w:t>
      </w:r>
      <w:r>
        <w:t xml:space="preserve"> </w:t>
      </w:r>
      <w:r>
        <w:rPr>
          <w:b/>
        </w:rPr>
        <w:t xml:space="preserve">إدارة المشاريع والحسابات معاً</w:t>
      </w:r>
      <w:r>
        <w:t xml:space="preserve">، وتسجيل</w:t>
      </w:r>
      <w:r>
        <w:t xml:space="preserve"> </w:t>
      </w:r>
      <w:r>
        <w:rPr>
          <w:b/>
        </w:rPr>
        <w:t xml:space="preserve">كل الشيكات</w:t>
      </w:r>
      <w:r>
        <w:t xml:space="preserve"> </w:t>
      </w:r>
      <w:r>
        <w:t xml:space="preserve">داخل النظام، على أن يكون</w:t>
      </w:r>
      <w:r>
        <w:t xml:space="preserve"> </w:t>
      </w:r>
      <w:r>
        <w:rPr>
          <w:b/>
        </w:rPr>
        <w:t xml:space="preserve">لكل موقع دفتر شيكات مخصوص</w:t>
      </w:r>
      <w:r>
        <w:t xml:space="preserve"> </w:t>
      </w:r>
      <w:r>
        <w:t xml:space="preserve">ولكل مشروع محاسبته المستقلة ودفتره المختلف، مع</w:t>
      </w:r>
      <w:r>
        <w:t xml:space="preserve"> </w:t>
      </w:r>
      <w:r>
        <w:rPr>
          <w:b/>
        </w:rPr>
        <w:t xml:space="preserve">أربعة حسابات بنكية</w:t>
      </w:r>
      <w:r>
        <w:t xml:space="preserve"> </w:t>
      </w:r>
      <w:r>
        <w:t xml:space="preserve">للشركة — والغاية النهائية أن يرى</w:t>
      </w:r>
      <w:r>
        <w:t xml:space="preserve"> </w:t>
      </w:r>
      <w:r>
        <w:rPr>
          <w:b/>
        </w:rPr>
        <w:t xml:space="preserve">ربحية كل مشروع على حدة</w:t>
      </w:r>
      <w:r>
        <w:t xml:space="preserve">.</w:t>
      </w:r>
    </w:p>
    <w:p>
      <w:pPr>
        <w:pStyle w:val="BodyText"/>
      </w:pPr>
      <w:r>
        <w:t xml:space="preserve">هذه ليست متطلبات محاسبية عامة، بل هي ثلاث حلقات مترابطة يعالجها هذا العرض بترتيب واضح:</w:t>
      </w:r>
    </w:p>
    <w:p>
      <w:pPr>
        <w:numPr>
          <w:ilvl w:val="0"/>
          <w:numId w:val="1001"/>
        </w:numPr>
        <w:pStyle w:val="Compact"/>
      </w:pPr>
      <w:r>
        <w:rPr>
          <w:b/>
        </w:rPr>
        <w:t xml:space="preserve">الحلقة الأولى — الحساب التحليلي لكل مشروع.</w:t>
      </w:r>
      <w:r>
        <w:t xml:space="preserve"> </w:t>
      </w:r>
      <w:r>
        <w:t xml:space="preserve">يُفتح لكل مشروع/قسيمة حساب تحليلي مستقل، ومحور تحليلي ثانٍ للفرع/الموقع. وتُحمَّل عليه كل فاتورة مورد، وكل سند صرف مخزني، وكل راتب، وكل إيجار معدة، وكل مصروف نقل. النتيجة قائمة دخل مستقلة لكل مشروع: إيراد المستخلصات مقابل (مواد + عمالة + مقاولو باطن + معدات + مصروفات غير مباشرة) = هامش ربح المشروع.</w:t>
      </w:r>
    </w:p>
    <w:p>
      <w:pPr>
        <w:numPr>
          <w:ilvl w:val="0"/>
          <w:numId w:val="1001"/>
        </w:numPr>
        <w:pStyle w:val="Compact"/>
      </w:pPr>
      <w:r>
        <w:rPr>
          <w:b/>
        </w:rPr>
        <w:t xml:space="preserve">الحلقة الثانية — دفتر شيكات مستقل لكل موقع.</w:t>
      </w:r>
      <w:r>
        <w:t xml:space="preserve"> </w:t>
      </w:r>
      <w:r>
        <w:t xml:space="preserve">لكل دفتر تسلسل أرقام ونطاق خاص به، مربوط بحسابه البنكي من الحسابات الأربعة، والنظام يمنع الصرف من دفتر الموقع الخطأ ويُظهر رصيد الأرقام المتبقية في كل دفتر.</w:t>
      </w:r>
    </w:p>
    <w:p>
      <w:pPr>
        <w:numPr>
          <w:ilvl w:val="0"/>
          <w:numId w:val="1001"/>
        </w:numPr>
        <w:pStyle w:val="Compact"/>
      </w:pPr>
      <w:r>
        <w:rPr>
          <w:b/>
        </w:rPr>
        <w:t xml:space="preserve">الحلقة الثالثة — دورة الشيك كاملة داخل النظام.</w:t>
      </w:r>
      <w:r>
        <w:t xml:space="preserve"> </w:t>
      </w:r>
      <w:r>
        <w:t xml:space="preserve">الشيك الوارد: تسجيل (رقم، بنك، تاريخ استحقاق، مشروع، موقع) ثم تحت التحصيل ثم مودع ثم محصّل أو مرتد. والشيك الصادر: مُحرَّر ثم مسلَّم ثم مقدَّم للصرف ثم مصروف، مع حساب «شيكات صادرة مؤجلة» يُظهر الالتزامات القادمة قبل أن تصل.</w:t>
      </w:r>
    </w:p>
    <w:p>
      <w:pPr>
        <w:pStyle w:val="FirstParagraph"/>
      </w:pPr>
      <w:r>
        <w:t xml:space="preserve">ولأن كل عملية يومية تحمل حسابها التحليلي منذ لحظة إدخالها، تُبنى لوحات المعلومات فوق البيانات نفسها لا فوق كشوف Excel موازية: ربحية كل مشروع، والشيكات المستحقة خلال 7 و30 يوماً، والتدفق النقدي المتوقع من تواريخ الاستحقاق، وتوزيع الأرصدة على الحسابات البنكية الأربعة.</w:t>
      </w:r>
    </w:p>
    <w:p>
      <w:pPr>
        <w:pStyle w:val="BodyText"/>
      </w:pPr>
      <w:r>
        <w:t xml:space="preserve">يشمل العرض</w:t>
      </w:r>
      <w:r>
        <w:t xml:space="preserve"> </w:t>
      </w:r>
      <w:r>
        <w:rPr>
          <w:b/>
        </w:rPr>
        <w:t xml:space="preserve">تسع وحدات</w:t>
      </w:r>
      <w:r>
        <w:t xml:space="preserve">، و</w:t>
      </w:r>
      <w:r>
        <w:rPr>
          <w:b/>
        </w:rPr>
        <w:t xml:space="preserve">15 مستخدماً مسمّى</w:t>
      </w:r>
      <w:r>
        <w:t xml:space="preserve">، ومدة تنفيذ</w:t>
      </w:r>
      <w:r>
        <w:t xml:space="preserve"> </w:t>
      </w:r>
      <w:r>
        <w:rPr>
          <w:b/>
        </w:rPr>
        <w:t xml:space="preserve">8–10 أسابيع</w:t>
      </w:r>
      <w:r>
        <w:t xml:space="preserve">، و</w:t>
      </w:r>
      <w:r>
        <w:rPr>
          <w:b/>
        </w:rPr>
        <w:t xml:space="preserve">12 شهراً</w:t>
      </w:r>
      <w:r>
        <w:t xml:space="preserve"> </w:t>
      </w:r>
      <w:r>
        <w:t xml:space="preserve">من الدعم الفني بعد التشغيل، باستثمار إجمالي قدره</w:t>
      </w:r>
      <w:r>
        <w:t xml:space="preserve"> </w:t>
      </w:r>
      <w:r>
        <w:rPr>
          <w:b/>
        </w:rPr>
        <w:t xml:space="preserve">2,500 KWD</w:t>
      </w:r>
      <w:r>
        <w:t xml:space="preserve"> </w:t>
      </w:r>
      <w:r>
        <w:t xml:space="preserve">موزَّع على أربع دفعات مرتبطة بمراحل مُسلَّمة ومُعتمَدة.</w:t>
      </w:r>
    </w:p>
    <w:p>
      <w:pPr>
        <w:pStyle w:val="Heading2"/>
      </w:pPr>
      <w:bookmarkStart w:id="22" w:name="نطاق-العمل-الوحدات-التسع"/>
      <w:r>
        <w:t xml:space="preserve">نطاق العمل — الوحدات التسع</w:t>
      </w:r>
      <w:bookmarkEnd w:id="22"/>
    </w:p>
    <w:p>
      <w:pPr>
        <w:pStyle w:val="Heading3"/>
      </w:pPr>
      <w:bookmarkStart w:id="23" w:name="إدارة-علاقات-العملاء-والتسويق-crm"/>
      <w:r>
        <w:t xml:space="preserve">1. إدارة علاقات العملاء والتسويق (CRM)</w:t>
      </w:r>
      <w:bookmarkEnd w:id="23"/>
    </w:p>
    <w:p>
      <w:pPr>
        <w:pStyle w:val="FirstParagraph"/>
      </w:pPr>
      <w:r>
        <w:t xml:space="preserve">وحدة مبنية على واقع المقاول الكويتي: مصادر الفرص هي المناقصات الحكومية وكراسات الشروط، وملاك القسائم السكنية الأفراد، والمكاتب الهندسية والاستشارية، والمقاولون الرئيسيون الباحثون عن مقاول باطن، والتزكية من عملاء سابقين.</w:t>
      </w:r>
    </w:p>
    <w:p>
      <w:pPr>
        <w:numPr>
          <w:ilvl w:val="0"/>
          <w:numId w:val="1002"/>
        </w:numPr>
        <w:pStyle w:val="Compact"/>
      </w:pPr>
      <w:r>
        <w:rPr>
          <w:b/>
        </w:rPr>
        <w:t xml:space="preserve">خط أنابيب الفرص:</w:t>
      </w:r>
      <w:r>
        <w:t xml:space="preserve"> </w:t>
      </w:r>
      <w:r>
        <w:t xml:space="preserve">استفسار أو إعلان مناقصة ← معاينة الموقع ← دراسة المخططات وكراسة الشروط ← إعداد جدول الكميات (BOQ) ← تسعير وتقديم العطاء ← فتح المظاريف ← الترسية والتوقيع ← تحويل إلى مشروع.</w:t>
      </w:r>
    </w:p>
    <w:p>
      <w:pPr>
        <w:numPr>
          <w:ilvl w:val="0"/>
          <w:numId w:val="1002"/>
        </w:numPr>
        <w:pStyle w:val="Compact"/>
      </w:pPr>
      <w:r>
        <w:rPr>
          <w:b/>
        </w:rPr>
        <w:t xml:space="preserve">متابعة العطاءات:</w:t>
      </w:r>
      <w:r>
        <w:t xml:space="preserve"> </w:t>
      </w:r>
      <w:r>
        <w:t xml:space="preserve">قيمة العطاء، ضمان العطاء والتأمين الأولي، تاريخ فتح المظاريف، المنافسون، وأسباب الفوز والخسارة كقائمة اختيار تُحلَّل لاحقاً.</w:t>
      </w:r>
    </w:p>
    <w:p>
      <w:pPr>
        <w:numPr>
          <w:ilvl w:val="0"/>
          <w:numId w:val="1002"/>
        </w:numPr>
        <w:pStyle w:val="Compact"/>
      </w:pPr>
      <w:r>
        <w:rPr>
          <w:b/>
        </w:rPr>
        <w:t xml:space="preserve">تصنيف العملاء:</w:t>
      </w:r>
      <w:r>
        <w:t xml:space="preserve"> </w:t>
      </w:r>
      <w:r>
        <w:t xml:space="preserve">جهات حكومية، ملاك قسائم، مطورون عقاريون، مقاولون رئيسيون.</w:t>
      </w:r>
    </w:p>
    <w:p>
      <w:pPr>
        <w:numPr>
          <w:ilvl w:val="0"/>
          <w:numId w:val="1002"/>
        </w:numPr>
        <w:pStyle w:val="Compact"/>
      </w:pPr>
      <w:r>
        <w:rPr>
          <w:b/>
        </w:rPr>
        <w:t xml:space="preserve">زيارات المهندسين للمواقع</w:t>
      </w:r>
      <w:r>
        <w:t xml:space="preserve"> </w:t>
      </w:r>
      <w:r>
        <w:t xml:space="preserve">مسجّلة بالتاريخ والملاحظات، وتذكيرات آلية بمواعيد تسليم العطاءات، وحفظ المخططات والكراسات كمرفقات على الفرصة.</w:t>
      </w:r>
    </w:p>
    <w:p>
      <w:pPr>
        <w:numPr>
          <w:ilvl w:val="0"/>
          <w:numId w:val="1002"/>
        </w:numPr>
        <w:pStyle w:val="Compact"/>
      </w:pPr>
      <w:r>
        <w:rPr>
          <w:b/>
        </w:rPr>
        <w:t xml:space="preserve">الحلقة الحاسمة:</w:t>
      </w:r>
      <w:r>
        <w:t xml:space="preserve"> </w:t>
      </w:r>
      <w:r>
        <w:t xml:space="preserve">كل فرصة تُربط منذ إنشائها بالموقع/الفرع المستهدف، فإذا رُسيت تحوّلت إلى مشروع يحمل نفس الحساب التحليلي ونفس دفتر الشيكات.</w:t>
      </w:r>
    </w:p>
    <w:p>
      <w:pPr>
        <w:numPr>
          <w:ilvl w:val="0"/>
          <w:numId w:val="1002"/>
        </w:numPr>
        <w:pStyle w:val="Compact"/>
      </w:pPr>
      <w:r>
        <w:rPr>
          <w:b/>
        </w:rPr>
        <w:t xml:space="preserve">المؤشرات:</w:t>
      </w:r>
      <w:r>
        <w:t xml:space="preserve"> </w:t>
      </w:r>
      <w:r>
        <w:t xml:space="preserve">عدد العطاءات المقدمة، نسبة الفوز %، قيمة العطاءات المرساة (KWD)، متوسط دورة التحويل بالأيام.</w:t>
      </w:r>
    </w:p>
    <w:p>
      <w:pPr>
        <w:pStyle w:val="Heading3"/>
      </w:pPr>
      <w:bookmarkStart w:id="24" w:name="المبيعات-والعقود-sales"/>
      <w:r>
        <w:t xml:space="preserve">2. المبيعات والعقود (Sales)</w:t>
      </w:r>
      <w:bookmarkEnd w:id="24"/>
    </w:p>
    <w:p>
      <w:pPr>
        <w:pStyle w:val="FirstParagraph"/>
      </w:pPr>
      <w:r>
        <w:t xml:space="preserve">من جدول الكميات إلى الشيك المحصَّل، في سلسلة واحدة غير مقطوعة.</w:t>
      </w:r>
    </w:p>
    <w:p>
      <w:pPr>
        <w:numPr>
          <w:ilvl w:val="0"/>
          <w:numId w:val="1003"/>
        </w:numPr>
        <w:pStyle w:val="Compact"/>
      </w:pPr>
      <w:r>
        <w:rPr>
          <w:b/>
        </w:rPr>
        <w:t xml:space="preserve">عرض السعر مبني على جدول الكميات (BOQ):</w:t>
      </w:r>
      <w:r>
        <w:t xml:space="preserve"> </w:t>
      </w:r>
      <w:r>
        <w:t xml:space="preserve">بنود بالوحدة والكمية وسعر الوحدة، مجمّعة بالمراحل (أعمال ترابية، خرسانة، بناء، كهرباء، صحي، تشطيبات)، مع نسخ متعددة من العرض واعتماد داخلي قبل الإرسال، وطباعة عربية بهوية الشركة.</w:t>
      </w:r>
    </w:p>
    <w:p>
      <w:pPr>
        <w:numPr>
          <w:ilvl w:val="0"/>
          <w:numId w:val="1003"/>
        </w:numPr>
        <w:pStyle w:val="Compact"/>
      </w:pPr>
      <w:r>
        <w:rPr>
          <w:b/>
        </w:rPr>
        <w:t xml:space="preserve">عقد المقاولة:</w:t>
      </w:r>
      <w:r>
        <w:t xml:space="preserve"> </w:t>
      </w:r>
      <w:r>
        <w:t xml:space="preserve">قيمة العقد، مدة التنفيذ، تاريخ التسليم، غرامة التأخير، الدفعة المقدمة ونسبة استهلاكها من كل مستخلص، المحتجزات (Retention) وتاريخ الإفراج، وأوامر التغيير (Variation Orders) بأثر موثّق على قيمة العقد.</w:t>
      </w:r>
    </w:p>
    <w:p>
      <w:pPr>
        <w:numPr>
          <w:ilvl w:val="0"/>
          <w:numId w:val="1003"/>
        </w:numPr>
        <w:pStyle w:val="Compact"/>
      </w:pPr>
      <w:r>
        <w:rPr>
          <w:b/>
        </w:rPr>
        <w:t xml:space="preserve">الفوترة بالمستخلصات:</w:t>
      </w:r>
      <w:r>
        <w:t xml:space="preserve"> </w:t>
      </w:r>
      <w:r>
        <w:t xml:space="preserve">مستخلص دوري بنسبة الإنجاز لكل بند، معتمد من المهندس، يتحول إلى فاتورة مرتبطة بالمشروع وبحسابه التحليلي — لا فاتورة عامة على الشركة.</w:t>
      </w:r>
    </w:p>
    <w:p>
      <w:pPr>
        <w:numPr>
          <w:ilvl w:val="0"/>
          <w:numId w:val="1003"/>
        </w:numPr>
        <w:pStyle w:val="Compact"/>
      </w:pPr>
      <w:r>
        <w:rPr>
          <w:b/>
        </w:rPr>
        <w:t xml:space="preserve">التحصيل بالشيكات:</w:t>
      </w:r>
      <w:r>
        <w:t xml:space="preserve"> </w:t>
      </w:r>
      <w:r>
        <w:t xml:space="preserve">كل مستخلص يُقابل بشيك أو أكثر يُسجَّل فور استلامه ويُقيَّد على دفتر الشيكات المخصص لموقع ذلك المشروع تحديداً.</w:t>
      </w:r>
    </w:p>
    <w:p>
      <w:pPr>
        <w:numPr>
          <w:ilvl w:val="0"/>
          <w:numId w:val="1003"/>
        </w:numPr>
        <w:pStyle w:val="Compact"/>
      </w:pPr>
      <w:r>
        <w:rPr>
          <w:b/>
        </w:rPr>
        <w:t xml:space="preserve">سلسلة الربط:</w:t>
      </w:r>
      <w:r>
        <w:t xml:space="preserve"> </w:t>
      </w:r>
      <w:r>
        <w:t xml:space="preserve">عرض سعر (BOQ) ← عقد مقاولة ← مشروع وحساب تحليلي ← مستخلص بنسبة إنجاز ← فاتورة ← شيك في دفتر الموقع ← تحصيل.</w:t>
      </w:r>
    </w:p>
    <w:p>
      <w:pPr>
        <w:numPr>
          <w:ilvl w:val="0"/>
          <w:numId w:val="1003"/>
        </w:numPr>
        <w:pStyle w:val="Compact"/>
      </w:pPr>
      <w:r>
        <w:rPr>
          <w:b/>
        </w:rPr>
        <w:t xml:space="preserve">المؤشرات:</w:t>
      </w:r>
      <w:r>
        <w:t xml:space="preserve"> </w:t>
      </w:r>
      <w:r>
        <w:t xml:space="preserve">قيمة العقود الموقعة، قيمة المستخلصات المعتمدة، نسبة التحصيل %، قيمة المحتجزات غير المفرج عنها.</w:t>
      </w:r>
    </w:p>
    <w:p>
      <w:pPr>
        <w:pStyle w:val="Heading3"/>
      </w:pPr>
      <w:bookmarkStart w:id="25" w:name="المشتريات-والتوريد-purchase"/>
      <w:r>
        <w:t xml:space="preserve">3. المشتريات والتوريد (Purchase)</w:t>
      </w:r>
      <w:bookmarkEnd w:id="25"/>
    </w:p>
    <w:p>
      <w:pPr>
        <w:numPr>
          <w:ilvl w:val="0"/>
          <w:numId w:val="1004"/>
        </w:numPr>
        <w:pStyle w:val="Compact"/>
      </w:pPr>
      <w:r>
        <w:rPr>
          <w:b/>
        </w:rPr>
        <w:t xml:space="preserve">طلب الشراء يبدأ من الموقع</w:t>
      </w:r>
      <w:r>
        <w:t xml:space="preserve"> </w:t>
      </w:r>
      <w:r>
        <w:t xml:space="preserve">ومرتبط إجبارياً بالمشروع/الفرع — فلا توجد مشتريات بلا مشروع: حديد تسليح، خرسانة جاهزة، بلوك، أسمنت، رمل، مواد كهربائية وكابلات، أعمال صحية، مواد تشطيب.</w:t>
      </w:r>
    </w:p>
    <w:p>
      <w:pPr>
        <w:numPr>
          <w:ilvl w:val="0"/>
          <w:numId w:val="1004"/>
        </w:numPr>
        <w:pStyle w:val="Compact"/>
      </w:pPr>
      <w:r>
        <w:rPr>
          <w:b/>
        </w:rPr>
        <w:t xml:space="preserve">مقارنة عروض الموردين</w:t>
      </w:r>
      <w:r>
        <w:t xml:space="preserve"> </w:t>
      </w:r>
      <w:r>
        <w:t xml:space="preserve">على الطلب نفسه (السعر، مدة التوريد، شروط السداد) واختيار المورد باعتماد موثّق، مع اعتماد متدرج حسب قيمة الطلب.</w:t>
      </w:r>
    </w:p>
    <w:p>
      <w:pPr>
        <w:numPr>
          <w:ilvl w:val="0"/>
          <w:numId w:val="1004"/>
        </w:numPr>
        <w:pStyle w:val="Compact"/>
      </w:pPr>
      <w:r>
        <w:rPr>
          <w:b/>
        </w:rPr>
        <w:t xml:space="preserve">مقاولو الباطن</w:t>
      </w:r>
      <w:r>
        <w:t xml:space="preserve"> </w:t>
      </w:r>
      <w:r>
        <w:t xml:space="preserve">(كهرباء، صحي، تكييف، تشطيبات، حدادة ونجارة): عقد الباطن كأمر شراء خدمي ببنود، ومستخلصات باطن بنسبة الإنجاز، ومحتجزات تُفرج بعد فترة الضمان.</w:t>
      </w:r>
    </w:p>
    <w:p>
      <w:pPr>
        <w:numPr>
          <w:ilvl w:val="0"/>
          <w:numId w:val="1004"/>
        </w:numPr>
        <w:pStyle w:val="Compact"/>
      </w:pPr>
      <w:r>
        <w:rPr>
          <w:b/>
        </w:rPr>
        <w:t xml:space="preserve">إيجار المعدات والآليات</w:t>
      </w:r>
      <w:r>
        <w:t xml:space="preserve"> </w:t>
      </w:r>
      <w:r>
        <w:t xml:space="preserve">ومصروفات المحروقات والنقل والمناولة، محمّلة على المشروع المستفيد.</w:t>
      </w:r>
    </w:p>
    <w:p>
      <w:pPr>
        <w:numPr>
          <w:ilvl w:val="0"/>
          <w:numId w:val="1004"/>
        </w:numPr>
        <w:pStyle w:val="Compact"/>
      </w:pPr>
      <w:r>
        <w:rPr>
          <w:b/>
        </w:rPr>
        <w:t xml:space="preserve">السداد بالشيكات:</w:t>
      </w:r>
      <w:r>
        <w:t xml:space="preserve"> </w:t>
      </w:r>
      <w:r>
        <w:t xml:space="preserve">يُحرَّر الشيك من الحساب البنكي المخصص ومن دفتر شيكات الموقع، ويبقى «شيكاً صادراً مؤجلاً» حتى يُصرف.</w:t>
      </w:r>
    </w:p>
    <w:p>
      <w:pPr>
        <w:numPr>
          <w:ilvl w:val="0"/>
          <w:numId w:val="1004"/>
        </w:numPr>
        <w:pStyle w:val="Compact"/>
      </w:pPr>
      <w:r>
        <w:rPr>
          <w:b/>
        </w:rPr>
        <w:t xml:space="preserve">الدورة:</w:t>
      </w:r>
      <w:r>
        <w:t xml:space="preserve"> </w:t>
      </w:r>
      <w:r>
        <w:t xml:space="preserve">طلب من الموقع ← اعتماد ← طلب عروض ← مقارنة واختيار مورد ← أمر شراء على المشروع ← استلام بالمخزن ← فاتورة مورد ← شيك صادر ← صرف.</w:t>
      </w:r>
    </w:p>
    <w:p>
      <w:pPr>
        <w:numPr>
          <w:ilvl w:val="0"/>
          <w:numId w:val="1004"/>
        </w:numPr>
        <w:pStyle w:val="Compact"/>
      </w:pPr>
      <w:r>
        <w:rPr>
          <w:b/>
        </w:rPr>
        <w:t xml:space="preserve">المؤشرات:</w:t>
      </w:r>
      <w:r>
        <w:t xml:space="preserve"> </w:t>
      </w:r>
      <w:r>
        <w:t xml:space="preserve">قيمة المشتريات لكل مشروع، نسبة التوريد في الموعد %، قيمة أعمال الباطن، متوسط زمن دورة الشراء.</w:t>
      </w:r>
    </w:p>
    <w:p>
      <w:pPr>
        <w:pStyle w:val="Heading3"/>
      </w:pPr>
      <w:bookmarkStart w:id="26" w:name="المخازن-والمستودعات-inventory"/>
      <w:r>
        <w:t xml:space="preserve">4. المخازن والمستودعات (Inventory)</w:t>
      </w:r>
      <w:bookmarkEnd w:id="26"/>
    </w:p>
    <w:p>
      <w:pPr>
        <w:numPr>
          <w:ilvl w:val="0"/>
          <w:numId w:val="1005"/>
        </w:numPr>
        <w:pStyle w:val="Compact"/>
      </w:pPr>
      <w:r>
        <w:rPr>
          <w:b/>
        </w:rPr>
        <w:t xml:space="preserve">هيكل المخازن يعكس هيكل الشركة:</w:t>
      </w:r>
      <w:r>
        <w:t xml:space="preserve"> </w:t>
      </w:r>
      <w:r>
        <w:t xml:space="preserve">مخزن رئيسي + مخزن مستقل لكل موقع/مشروع، لكل منها رصيده وحركاته وجرده.</w:t>
      </w:r>
    </w:p>
    <w:p>
      <w:pPr>
        <w:numPr>
          <w:ilvl w:val="0"/>
          <w:numId w:val="1005"/>
        </w:numPr>
        <w:pStyle w:val="Compact"/>
      </w:pPr>
      <w:r>
        <w:rPr>
          <w:b/>
        </w:rPr>
        <w:t xml:space="preserve">سند صرف المواد للمشروع:</w:t>
      </w:r>
      <w:r>
        <w:t xml:space="preserve"> </w:t>
      </w:r>
      <w:r>
        <w:t xml:space="preserve">كل صرفة تُحمَّل فوراً على الحساب التحليلي للمشروع، فتظهر في تكلفته لحظة الصرف لا في نهاية الشهر.</w:t>
      </w:r>
    </w:p>
    <w:p>
      <w:pPr>
        <w:numPr>
          <w:ilvl w:val="0"/>
          <w:numId w:val="1005"/>
        </w:numPr>
        <w:pStyle w:val="Compact"/>
      </w:pPr>
      <w:r>
        <w:rPr>
          <w:b/>
        </w:rPr>
        <w:t xml:space="preserve">التحويل بين المخازن</w:t>
      </w:r>
      <w:r>
        <w:t xml:space="preserve"> </w:t>
      </w:r>
      <w:r>
        <w:t xml:space="preserve">بسند معتمد لنقل المواد الفائضة من موقع إلى آخر، بأثر واضح على تكلفة الطرفين.</w:t>
      </w:r>
    </w:p>
    <w:p>
      <w:pPr>
        <w:numPr>
          <w:ilvl w:val="0"/>
          <w:numId w:val="1005"/>
        </w:numPr>
        <w:pStyle w:val="Compact"/>
      </w:pPr>
      <w:r>
        <w:rPr>
          <w:b/>
        </w:rPr>
        <w:t xml:space="preserve">سجل المعدات والآليات:</w:t>
      </w:r>
      <w:r>
        <w:t xml:space="preserve"> </w:t>
      </w:r>
      <w:r>
        <w:t xml:space="preserve">الشدات والسقالات والخلاطات والهزازات والمولدات والعدد الكهربائية — الحالة، والموقع الحالي، وتاريخ النقل، وسجل الصيانة، مع تحميل الإيجار أو الإهلاك على المشروع الذي تعمل به.</w:t>
      </w:r>
    </w:p>
    <w:p>
      <w:pPr>
        <w:numPr>
          <w:ilvl w:val="0"/>
          <w:numId w:val="1005"/>
        </w:numPr>
        <w:pStyle w:val="Compact"/>
      </w:pPr>
      <w:r>
        <w:rPr>
          <w:b/>
        </w:rPr>
        <w:t xml:space="preserve">الجرد الدوري وجرد نهاية المشروع</w:t>
      </w:r>
      <w:r>
        <w:t xml:space="preserve">، وحد إعادة الطلب للمواد سريعة الاستهلاك، وتسجيل الهالك والفاقد بسبب واضح.</w:t>
      </w:r>
    </w:p>
    <w:p>
      <w:pPr>
        <w:numPr>
          <w:ilvl w:val="0"/>
          <w:numId w:val="1005"/>
        </w:numPr>
        <w:pStyle w:val="Compact"/>
      </w:pPr>
      <w:r>
        <w:rPr>
          <w:b/>
        </w:rPr>
        <w:t xml:space="preserve">المؤشرات:</w:t>
      </w:r>
      <w:r>
        <w:t xml:space="preserve"> </w:t>
      </w:r>
      <w:r>
        <w:t xml:space="preserve">قيمة المخزون الحالي، قيمة المواد المصروفة لكل مشروع، نسبة الهالك %، عدد المعدات في المواقع.</w:t>
      </w:r>
    </w:p>
    <w:p>
      <w:pPr>
        <w:pStyle w:val="Heading3"/>
      </w:pPr>
      <w:bookmarkStart w:id="27" w:name="Xb0945188fd5df5d0e6fe5e60c2f89a797190e18"/>
      <w:r>
        <w:t xml:space="preserve">5. المحاسبة والشؤون المالية (Accounting) — قلب هذا العرض</w:t>
      </w:r>
      <w:bookmarkEnd w:id="27"/>
    </w:p>
    <w:p>
      <w:pPr>
        <w:pStyle w:val="FirstParagraph"/>
      </w:pPr>
      <w:r>
        <w:t xml:space="preserve">هذه الوحدة هي الإجابة المباشرة على طلبَي صاحب الشركة: تسجيل كل الشيكات بدفتر مخصوص لكل موقع، ورؤية ربحية كل مشروع على حدة.</w:t>
      </w:r>
    </w:p>
    <w:p>
      <w:pPr>
        <w:numPr>
          <w:ilvl w:val="0"/>
          <w:numId w:val="1006"/>
        </w:numPr>
        <w:pStyle w:val="Compact"/>
      </w:pPr>
      <w:r>
        <w:rPr>
          <w:b/>
        </w:rPr>
        <w:t xml:space="preserve">المحاسبة التحليلية (Analytic Accounting):</w:t>
      </w:r>
      <w:r>
        <w:t xml:space="preserve"> </w:t>
      </w:r>
      <w:r>
        <w:t xml:space="preserve">حساب تحليلي مستقل لكل مشروع/قسيمة، ومحور ثانٍ للفرع/الموقع، تُحمَّل عليه كل تكلفة مباشرة وغير مباشرة، فتنتج قائمة دخل وهامش ربح لكل مشروع.</w:t>
      </w:r>
    </w:p>
    <w:p>
      <w:pPr>
        <w:numPr>
          <w:ilvl w:val="0"/>
          <w:numId w:val="1006"/>
        </w:numPr>
        <w:pStyle w:val="Compact"/>
      </w:pPr>
      <w:r>
        <w:rPr>
          <w:b/>
        </w:rPr>
        <w:t xml:space="preserve">دورة الشيك الوارد:</w:t>
      </w:r>
      <w:r>
        <w:t xml:space="preserve"> </w:t>
      </w:r>
      <w:r>
        <w:t xml:space="preserve">استلام الشيك من العميل ← تسجيله في دفتر الموقع برقمه وبنكه وتاريخ استحقاقه ومشروعه ← تحت التحصيل ← إيداع في البنك المخصص ← تحصيل ← إقفال ذمة العميل. ويعالج حساب وسيط «شيكات تحت التحصيل» مشكلة التحصيل الوهمي، ويعود الشيك المرتد تلقائياً على ذمة العميل بسبب موثّق.</w:t>
      </w:r>
    </w:p>
    <w:p>
      <w:pPr>
        <w:numPr>
          <w:ilvl w:val="0"/>
          <w:numId w:val="1006"/>
        </w:numPr>
        <w:pStyle w:val="Compact"/>
      </w:pPr>
      <w:r>
        <w:rPr>
          <w:b/>
        </w:rPr>
        <w:t xml:space="preserve">دورة الشيك الصادر:</w:t>
      </w:r>
      <w:r>
        <w:t xml:space="preserve"> </w:t>
      </w:r>
      <w:r>
        <w:t xml:space="preserve">مُحرَّر ← مسلَّم للمورد أو مقاول الباطن ← مقدَّم للصرف ← مصروف، مع حساب «شيكات صادرة مؤجلة».</w:t>
      </w:r>
    </w:p>
    <w:p>
      <w:pPr>
        <w:numPr>
          <w:ilvl w:val="0"/>
          <w:numId w:val="1006"/>
        </w:numPr>
        <w:pStyle w:val="Compact"/>
      </w:pPr>
      <w:r>
        <w:rPr>
          <w:b/>
        </w:rPr>
        <w:t xml:space="preserve">دفتر شيكات مستقل لكل موقع/مشروع:</w:t>
      </w:r>
      <w:r>
        <w:t xml:space="preserve"> </w:t>
      </w:r>
      <w:r>
        <w:t xml:space="preserve">تسلسل أرقام ونطاق خاص لكل دفتر، ومنع الصرف من الدفتر الخطأ، وإظهار رصيد الأرقام المتبقية.</w:t>
      </w:r>
    </w:p>
    <w:p>
      <w:pPr>
        <w:numPr>
          <w:ilvl w:val="0"/>
          <w:numId w:val="1006"/>
        </w:numPr>
        <w:pStyle w:val="Compact"/>
      </w:pPr>
      <w:r>
        <w:rPr>
          <w:b/>
        </w:rPr>
        <w:t xml:space="preserve">أربع يوميات بنكية</w:t>
      </w:r>
      <w:r>
        <w:t xml:space="preserve"> </w:t>
      </w:r>
      <w:r>
        <w:t xml:space="preserve">للحسابات البنكية الأربعة، وربط كل دفتر شيكات بحسابه، وتسوية بنكية شهرية مستقلة لكل حساب.</w:t>
      </w:r>
    </w:p>
    <w:p>
      <w:pPr>
        <w:numPr>
          <w:ilvl w:val="0"/>
          <w:numId w:val="1006"/>
        </w:numPr>
        <w:pStyle w:val="Compact"/>
      </w:pPr>
      <w:r>
        <w:rPr>
          <w:b/>
        </w:rPr>
        <w:t xml:space="preserve">كذلك:</w:t>
      </w:r>
      <w:r>
        <w:t xml:space="preserve"> </w:t>
      </w:r>
      <w:r>
        <w:t xml:space="preserve">الدفعة المقدمة واستهلاكها، المحتجزات وإفراجها، أعمار الذمم المدينة والدائنة، دليل حسابات مصمم للمقاولات، الأصول الثابتة وإهلاك المعدات، القيود الافتتاحية وإقفال الفترات، والالتزام بمتطلبات الفوترة والدفاتر المعمول بها في دولة الكويت، بعملة KWD بثلاث خانات عشرية.</w:t>
      </w:r>
    </w:p>
    <w:p>
      <w:pPr>
        <w:numPr>
          <w:ilvl w:val="0"/>
          <w:numId w:val="1006"/>
        </w:numPr>
        <w:pStyle w:val="Compact"/>
      </w:pPr>
      <w:r>
        <w:rPr>
          <w:b/>
        </w:rPr>
        <w:t xml:space="preserve">المؤشرات:</w:t>
      </w:r>
      <w:r>
        <w:t xml:space="preserve"> </w:t>
      </w:r>
      <w:r>
        <w:t xml:space="preserve">هامش ربح كل مشروع %، قيمة الشيكات تحت التحصيل، قيمة الشيكات الصادرة المؤجلة، عدد الشيكات المستحقة خلال 30 يوماً، وتوزيع الأرصدة على الحسابات البنكية الأربعة.</w:t>
      </w:r>
    </w:p>
    <w:p>
      <w:pPr>
        <w:pStyle w:val="Heading3"/>
      </w:pPr>
      <w:bookmarkStart w:id="28" w:name="الموارد-البشرية-hr"/>
      <w:r>
        <w:t xml:space="preserve">6. الموارد البشرية (HR)</w:t>
      </w:r>
      <w:bookmarkEnd w:id="28"/>
    </w:p>
    <w:p>
      <w:pPr>
        <w:numPr>
          <w:ilvl w:val="0"/>
          <w:numId w:val="1007"/>
        </w:numPr>
        <w:pStyle w:val="Compact"/>
      </w:pPr>
      <w:r>
        <w:rPr>
          <w:b/>
        </w:rPr>
        <w:t xml:space="preserve">هيكل القوى العاملة كما هو فعلاً:</w:t>
      </w:r>
      <w:r>
        <w:t xml:space="preserve"> </w:t>
      </w:r>
      <w:r>
        <w:t xml:space="preserve">مهندسون مدني وكهرباء، مشرفو مواقع، فنيون، عمالة كهرباء وتنفيذ، سائقو ومشغلو معدات، وإداريون.</w:t>
      </w:r>
    </w:p>
    <w:p>
      <w:pPr>
        <w:numPr>
          <w:ilvl w:val="0"/>
          <w:numId w:val="1007"/>
        </w:numPr>
        <w:pStyle w:val="Compact"/>
      </w:pPr>
      <w:r>
        <w:rPr>
          <w:b/>
        </w:rPr>
        <w:t xml:space="preserve">تخصيص الموظف على الموقع/المشروع:</w:t>
      </w:r>
      <w:r>
        <w:t xml:space="preserve"> </w:t>
      </w:r>
      <w:r>
        <w:t xml:space="preserve">تُحمَّل تكلفة أجره ومستحقاته على الحساب التحليلي لمشروعه، فتدخل تكلفة العمالة داخل ربحية المشروع بدل أن تبقى مصروفاً عاماً؛ ونقل العامل بين المواقع ينقل تكلفته معه من تاريخ النقل.</w:t>
      </w:r>
    </w:p>
    <w:p>
      <w:pPr>
        <w:numPr>
          <w:ilvl w:val="0"/>
          <w:numId w:val="1007"/>
        </w:numPr>
        <w:pStyle w:val="Compact"/>
      </w:pPr>
      <w:r>
        <w:rPr>
          <w:b/>
        </w:rPr>
        <w:t xml:space="preserve">الحضور والانصراف على مستوى الموقع</w:t>
      </w:r>
      <w:r>
        <w:t xml:space="preserve">، وساعات العمل الإضافي واحتسابها، والورديات.</w:t>
      </w:r>
    </w:p>
    <w:p>
      <w:pPr>
        <w:numPr>
          <w:ilvl w:val="0"/>
          <w:numId w:val="1007"/>
        </w:numPr>
        <w:pStyle w:val="Compact"/>
      </w:pPr>
      <w:r>
        <w:rPr>
          <w:b/>
        </w:rPr>
        <w:t xml:space="preserve">الرواتب:</w:t>
      </w:r>
      <w:r>
        <w:t xml:space="preserve"> </w:t>
      </w:r>
      <w:r>
        <w:t xml:space="preserve">أجر أساسي وبدلات (سكن، مواصلات، طبيعة عمل، إشراف موقع)، والخصومات والسلف وأقساطها، ومكافأة نهاية الخدمة، والتأمينات الاجتماعية للموظفين الكويتيين، وكشف رواتب عربي قابل للطباعة.</w:t>
      </w:r>
    </w:p>
    <w:p>
      <w:pPr>
        <w:numPr>
          <w:ilvl w:val="0"/>
          <w:numId w:val="1007"/>
        </w:numPr>
        <w:pStyle w:val="Compact"/>
      </w:pPr>
      <w:r>
        <w:rPr>
          <w:b/>
        </w:rPr>
        <w:t xml:space="preserve">تنبيهات آلية قبل انتهاء الوثائق:</w:t>
      </w:r>
      <w:r>
        <w:t xml:space="preserve"> </w:t>
      </w:r>
      <w:r>
        <w:t xml:space="preserve">الإقامات وتصاريح العمل، البطاقات الصحية، رخص القيادة ومشغلي المعدات، وشهادات الكهربائيين.</w:t>
      </w:r>
    </w:p>
    <w:p>
      <w:pPr>
        <w:numPr>
          <w:ilvl w:val="0"/>
          <w:numId w:val="1007"/>
        </w:numPr>
        <w:pStyle w:val="Compact"/>
      </w:pPr>
      <w:r>
        <w:rPr>
          <w:b/>
        </w:rPr>
        <w:t xml:space="preserve">الإجازات والتذاكر والأرصدة</w:t>
      </w:r>
      <w:r>
        <w:t xml:space="preserve"> </w:t>
      </w:r>
      <w:r>
        <w:t xml:space="preserve">وطلبات الموظفين ودورة اعتمادها، وصرف الرواتب من حساب بنكي محدد بكشف تحويل جاهز.</w:t>
      </w:r>
    </w:p>
    <w:p>
      <w:pPr>
        <w:numPr>
          <w:ilvl w:val="0"/>
          <w:numId w:val="1007"/>
        </w:numPr>
        <w:pStyle w:val="Compact"/>
      </w:pPr>
      <w:r>
        <w:rPr>
          <w:b/>
        </w:rPr>
        <w:t xml:space="preserve">المؤشرات:</w:t>
      </w:r>
      <w:r>
        <w:t xml:space="preserve"> </w:t>
      </w:r>
      <w:r>
        <w:t xml:space="preserve">تكلفة العمالة لكل موقع، عدد الموظفين النشطين، ساعات العمل الإضافي، عدد الوثائق المنتهية خلال 30 يوماً.</w:t>
      </w:r>
    </w:p>
    <w:p>
      <w:pPr>
        <w:pStyle w:val="Heading3"/>
      </w:pPr>
      <w:bookmarkStart w:id="29" w:name="التحليلات-ولوحات-المعلومات-analytics"/>
      <w:r>
        <w:t xml:space="preserve">7. التحليلات ولوحات المعلومات (Analytics)</w:t>
      </w:r>
      <w:bookmarkEnd w:id="29"/>
    </w:p>
    <w:p>
      <w:pPr>
        <w:numPr>
          <w:ilvl w:val="0"/>
          <w:numId w:val="1008"/>
        </w:numPr>
        <w:pStyle w:val="Compact"/>
      </w:pPr>
      <w:r>
        <w:rPr>
          <w:b/>
        </w:rPr>
        <w:t xml:space="preserve">لوحة ربحية المشاريع:</w:t>
      </w:r>
      <w:r>
        <w:t xml:space="preserve"> </w:t>
      </w:r>
      <w:r>
        <w:t xml:space="preserve">لكل مشروع قيمة العقد، والمستخلصات المعتمدة، والتكلفة الفعلية موزعة (مواد / عمالة / باطن / معدات)، والهامش بالقيمة والنسبة، مع مقارنة المشاريع جنباً إلى جنب، ونسبة الإنجاز مقابل التكلفة المستهلكة لكشف المشروع الذي يستهلك تكلفته أسرع من إنجازه.</w:t>
      </w:r>
    </w:p>
    <w:p>
      <w:pPr>
        <w:numPr>
          <w:ilvl w:val="0"/>
          <w:numId w:val="1008"/>
        </w:numPr>
        <w:pStyle w:val="Compact"/>
      </w:pPr>
      <w:r>
        <w:rPr>
          <w:b/>
        </w:rPr>
        <w:t xml:space="preserve">لوحة الشيكات:</w:t>
      </w:r>
      <w:r>
        <w:t xml:space="preserve"> </w:t>
      </w:r>
      <w:r>
        <w:t xml:space="preserve">المستحقة خلال 7 و30 يوماً، وتحت التحصيل، والمرتدة، ورصيد وحركة كل دفتر شيكات حسب الموقع، وتوزيع الشيكات على الحسابات البنكية الأربعة.</w:t>
      </w:r>
    </w:p>
    <w:p>
      <w:pPr>
        <w:numPr>
          <w:ilvl w:val="0"/>
          <w:numId w:val="1008"/>
        </w:numPr>
        <w:pStyle w:val="Compact"/>
      </w:pPr>
      <w:r>
        <w:rPr>
          <w:b/>
        </w:rPr>
        <w:t xml:space="preserve">لوحة السيولة:</w:t>
      </w:r>
      <w:r>
        <w:t xml:space="preserve"> </w:t>
      </w:r>
      <w:r>
        <w:t xml:space="preserve">تدفق نقدي متوقع مبني على تواريخ استحقاق الشيكات الواردة مقابل الصادرة المؤجلة، لكشف الأسابيع التي يضيق فيها النقد قبل حدوثها.</w:t>
      </w:r>
    </w:p>
    <w:p>
      <w:pPr>
        <w:numPr>
          <w:ilvl w:val="0"/>
          <w:numId w:val="1008"/>
        </w:numPr>
        <w:pStyle w:val="Compact"/>
      </w:pPr>
      <w:r>
        <w:rPr>
          <w:b/>
        </w:rPr>
        <w:t xml:space="preserve">لوحة المناقصات:</w:t>
      </w:r>
      <w:r>
        <w:t xml:space="preserve"> </w:t>
      </w:r>
      <w:r>
        <w:t xml:space="preserve">عدد العطاءات، نسبة الفوز، القيمة المرساة، وأسباب الخسارة.</w:t>
      </w:r>
      <w:r>
        <w:t xml:space="preserve"> </w:t>
      </w:r>
      <w:r>
        <w:rPr>
          <w:b/>
        </w:rPr>
        <w:t xml:space="preserve">ولوحة المشتريات والمخازن</w:t>
      </w:r>
      <w:r>
        <w:t xml:space="preserve"> </w:t>
      </w:r>
      <w:r>
        <w:t xml:space="preserve">و</w:t>
      </w:r>
      <w:r>
        <w:rPr>
          <w:b/>
        </w:rPr>
        <w:t xml:space="preserve">لوحة الموارد البشرية</w:t>
      </w:r>
      <w:r>
        <w:t xml:space="preserve">.</w:t>
      </w:r>
    </w:p>
    <w:p>
      <w:pPr>
        <w:numPr>
          <w:ilvl w:val="0"/>
          <w:numId w:val="1008"/>
        </w:numPr>
        <w:pStyle w:val="Compact"/>
      </w:pPr>
      <w:r>
        <w:rPr>
          <w:b/>
        </w:rPr>
        <w:t xml:space="preserve">الصلاحيات:</w:t>
      </w:r>
      <w:r>
        <w:t xml:space="preserve"> </w:t>
      </w:r>
      <w:r>
        <w:t xml:space="preserve">صاحب الشركة يرى كل المشاريع، ومشرف الموقع يرى مشروعه فقط؛ والتحديث لحظي من قاعدة البيانات نفسها — لا كشوف Excel موازية. تصدير أي لوحة إلى Excel أو PDF وإرسال ملخص دوري بالبريد.</w:t>
      </w:r>
    </w:p>
    <w:p>
      <w:pPr>
        <w:pStyle w:val="Heading3"/>
      </w:pPr>
      <w:bookmarkStart w:id="30" w:name="ترحيل-البيانات-data-migration"/>
      <w:r>
        <w:t xml:space="preserve">8. ترحيل البيانات (Data Migration)</w:t>
      </w:r>
      <w:bookmarkEnd w:id="30"/>
    </w:p>
    <w:p>
      <w:pPr>
        <w:numPr>
          <w:ilvl w:val="0"/>
          <w:numId w:val="1009"/>
        </w:numPr>
        <w:pStyle w:val="Compact"/>
      </w:pPr>
      <w:r>
        <w:rPr>
          <w:b/>
        </w:rPr>
        <w:t xml:space="preserve">منهجية من ست مراحل:</w:t>
      </w:r>
      <w:r>
        <w:t xml:space="preserve"> </w:t>
      </w:r>
      <w:r>
        <w:t xml:space="preserve">الحصر والتقييم ← التنظيف والتوحيد ← التخطيط والربط (Mapping) ← الترحيل التجريبي ← المطابقة والاعتماد ← الترحيل النهائي والتشغيل.</w:t>
      </w:r>
    </w:p>
    <w:p>
      <w:pPr>
        <w:numPr>
          <w:ilvl w:val="0"/>
          <w:numId w:val="1009"/>
        </w:numPr>
        <w:pStyle w:val="Compact"/>
      </w:pPr>
      <w:r>
        <w:rPr>
          <w:b/>
        </w:rPr>
        <w:t xml:space="preserve">البيانات المرشحة:</w:t>
      </w:r>
      <w:r>
        <w:t xml:space="preserve"> </w:t>
      </w:r>
      <w:r>
        <w:t xml:space="preserve">دليل الحسابات وأرصدة الافتتاح، أرصدة الحسابات البنكية الأربعة، العملاء والجهات الحكومية، الموردون ومقاولو الباطن، العقود والمشاريع الجارية ونِسب إنجازها، المستخلصات غير المحصّلة، أرصدة المخازن في كل موقع، سجل المعدات، وملفات الموظفين وأرصدتهم.</w:t>
      </w:r>
    </w:p>
    <w:p>
      <w:pPr>
        <w:numPr>
          <w:ilvl w:val="0"/>
          <w:numId w:val="1009"/>
        </w:numPr>
        <w:pStyle w:val="Compact"/>
      </w:pPr>
      <w:r>
        <w:rPr>
          <w:b/>
        </w:rPr>
        <w:t xml:space="preserve">البند الحرج — ترحيل الشيكات القائمة:</w:t>
      </w:r>
      <w:r>
        <w:t xml:space="preserve"> </w:t>
      </w:r>
      <w:r>
        <w:t xml:space="preserve">كل شيك وارد تحت التحصيل وكل شيك صادر مؤجل يُرحَّل برقمه وبنكه وتاريخ استحقاقه وحالته ومشروعه، ويُقيَّد على دفتر الشيكات الصحيح الخاص بموقعه، حتى لا ينكسر التسلسل ولا يضيع شيك في يوم التحول.</w:t>
      </w:r>
    </w:p>
    <w:p>
      <w:pPr>
        <w:numPr>
          <w:ilvl w:val="0"/>
          <w:numId w:val="1009"/>
        </w:numPr>
        <w:pStyle w:val="Compact"/>
      </w:pPr>
      <w:r>
        <w:rPr>
          <w:b/>
        </w:rPr>
        <w:t xml:space="preserve">ضوابط الجودة:</w:t>
      </w:r>
      <w:r>
        <w:t xml:space="preserve"> </w:t>
      </w:r>
      <w:r>
        <w:t xml:space="preserve">تسوية القيد الافتتاحي حتى يوازن إلى الصفر، ومطابقة إجمالي الشيكات القائمة مع كشوف البنوك الأربعة قبل الاعتماد، ومطابقة أرصدة العملاء والموردين، ونسخة احتياطية قبل كل تحميل، وسجل استثناءات موثّق، وإمكانية التراجع (Rollback).</w:t>
      </w:r>
    </w:p>
    <w:p>
      <w:pPr>
        <w:numPr>
          <w:ilvl w:val="0"/>
          <w:numId w:val="1009"/>
        </w:numPr>
        <w:pStyle w:val="Compact"/>
      </w:pPr>
      <w:r>
        <w:rPr>
          <w:b/>
        </w:rPr>
        <w:t xml:space="preserve">خطة يوم التشغيل (Go-Live):</w:t>
      </w:r>
      <w:r>
        <w:t xml:space="preserve"> </w:t>
      </w:r>
      <w:r>
        <w:t xml:space="preserve">تجميد الإدخال في النظام القديم ← الترحيل النهائي ← المطابقة ← بدء التشغيل الفعلي.</w:t>
      </w:r>
    </w:p>
    <w:p>
      <w:pPr>
        <w:pStyle w:val="Heading3"/>
      </w:pPr>
      <w:bookmarkStart w:id="31" w:name="تخصيص-التقارير-reports"/>
      <w:r>
        <w:t xml:space="preserve">9. تخصيص التقارير (Reports)</w:t>
      </w:r>
      <w:bookmarkEnd w:id="31"/>
    </w:p>
    <w:p>
      <w:pPr>
        <w:numPr>
          <w:ilvl w:val="0"/>
          <w:numId w:val="1010"/>
        </w:numPr>
        <w:pStyle w:val="Compact"/>
      </w:pPr>
      <w:r>
        <w:rPr>
          <w:b/>
        </w:rPr>
        <w:t xml:space="preserve">تقارير على القياس:</w:t>
      </w:r>
      <w:r>
        <w:t xml:space="preserve"> </w:t>
      </w:r>
      <w:r>
        <w:t xml:space="preserve">قائمة دخل مستقلة لكل مشروع/قسيمة؛ تقرير تكلفة المشروع بالتفصيل (مواد + عمالة + باطن + معدات + مصروفات غير مباشرة)؛</w:t>
      </w:r>
      <w:r>
        <w:t xml:space="preserve"> </w:t>
      </w:r>
      <w:r>
        <w:rPr>
          <w:b/>
        </w:rPr>
        <w:t xml:space="preserve">سجل الشيكات لكل دفتر ولكل موقع</w:t>
      </w:r>
      <w:r>
        <w:t xml:space="preserve">؛ تقرير أعمار الشيكات والمستحقة خلال 7 و30 و60 يوماً؛ تقرير الشيكات المرتدة؛ تقرير المستخلصات ونِسب الإنجاز؛ تقرير المحتجزات المستحقة الإفراج؛ مقارنة الموازنة التقديرية بالفعلية لكل مشروع؛ تقرير مقاولي الباطن؛ كشف حساب عميل وكشف حساب مورد.</w:t>
      </w:r>
    </w:p>
    <w:p>
      <w:pPr>
        <w:numPr>
          <w:ilvl w:val="0"/>
          <w:numId w:val="1010"/>
        </w:numPr>
        <w:pStyle w:val="Compact"/>
      </w:pPr>
      <w:r>
        <w:rPr>
          <w:b/>
        </w:rPr>
        <w:t xml:space="preserve">مستندات مطبوعة بالعربية وبهوية الشركة:</w:t>
      </w:r>
      <w:r>
        <w:t xml:space="preserve"> </w:t>
      </w:r>
      <w:r>
        <w:t xml:space="preserve">عرض السعر بجدول الكميات، عقد المقاولة، أمر الشراء، سند الاستلام، سند صرف المواد، إشعار استلام شيك، المستخلص، وكشف الرواتب.</w:t>
      </w:r>
    </w:p>
    <w:p>
      <w:pPr>
        <w:numPr>
          <w:ilvl w:val="0"/>
          <w:numId w:val="1010"/>
        </w:numPr>
        <w:pStyle w:val="Compact"/>
      </w:pPr>
      <w:r>
        <w:rPr>
          <w:b/>
        </w:rPr>
        <w:t xml:space="preserve">آلية طلب التقرير:</w:t>
      </w:r>
      <w:r>
        <w:t xml:space="preserve"> </w:t>
      </w:r>
      <w:r>
        <w:t xml:space="preserve">نموذج طلب ← تحليل المتطلب ← تصميم مبدئي ← اعتماد الشكل ← التطوير ← الاختبار على بيانات حقيقية ← التسليم والتدريب.</w:t>
      </w:r>
    </w:p>
    <w:p>
      <w:pPr>
        <w:numPr>
          <w:ilvl w:val="0"/>
          <w:numId w:val="1010"/>
        </w:numPr>
        <w:pStyle w:val="Compact"/>
      </w:pPr>
      <w:r>
        <w:rPr>
          <w:b/>
        </w:rPr>
        <w:t xml:space="preserve">خصائص:</w:t>
      </w:r>
      <w:r>
        <w:t xml:space="preserve"> </w:t>
      </w:r>
      <w:r>
        <w:t xml:space="preserve">فلاتر بالتاريخ والمشروع والموقع والحساب البنكي، ومستويات تجميع وتفصيل، وتصدير Excel وPDF، وجدولة إرسال آلي بالبريد، وصلاحيات مشاهدة تمنع مشرف الموقع من رؤية مشاريع غيره.</w:t>
      </w:r>
    </w:p>
    <w:p>
      <w:pPr>
        <w:pStyle w:val="Heading2"/>
      </w:pPr>
      <w:bookmarkStart w:id="32" w:name="الجدول-الزمني-للتنفيذ-8-إلى-10-أسابيع"/>
      <w:r>
        <w:t xml:space="preserve">الجدول الزمني للتنفيذ — 8 إلى 10 أسابيع</w:t>
      </w:r>
      <w:bookmarkEnd w:id="32"/>
    </w:p>
    <w:tbl>
      <w:tblPr>
        <w:tblStyle w:val="Table"/>
        <w:tblW w:type="pct" w:w="0.0"/>
        <w:tblLook w:firstRow="1"/>
      </w:tblPr>
      <w:tblGrid/>
      <w:tr>
        <w:trPr>
          <w:cnfStyle w:firstRow="1"/>
        </w:trPr>
        <w:tc>
          <w:tcPr>
            <w:tcBorders>
              <w:bottom w:val="single"/>
            </w:tcBorders>
            <w:vAlign w:val="bottom"/>
          </w:tcPr>
          <w:p>
            <w:pPr>
              <w:pStyle w:val="Compact"/>
              <w:jc w:val="left"/>
            </w:pPr>
            <w:r>
              <w:t xml:space="preserve">المرحلة</w:t>
            </w:r>
          </w:p>
        </w:tc>
        <w:tc>
          <w:tcPr>
            <w:tcBorders>
              <w:bottom w:val="single"/>
            </w:tcBorders>
            <w:vAlign w:val="bottom"/>
          </w:tcPr>
          <w:p>
            <w:pPr>
              <w:pStyle w:val="Compact"/>
              <w:jc w:val="left"/>
            </w:pPr>
            <w:r>
              <w:t xml:space="preserve">المدة</w:t>
            </w:r>
          </w:p>
        </w:tc>
        <w:tc>
          <w:tcPr>
            <w:tcBorders>
              <w:bottom w:val="single"/>
            </w:tcBorders>
            <w:vAlign w:val="bottom"/>
          </w:tcPr>
          <w:p>
            <w:pPr>
              <w:pStyle w:val="Compact"/>
              <w:jc w:val="left"/>
            </w:pPr>
            <w:r>
              <w:t xml:space="preserve">المخرجات</w:t>
            </w:r>
          </w:p>
        </w:tc>
      </w:tr>
      <w:tr>
        <w:tc>
          <w:p>
            <w:pPr>
              <w:pStyle w:val="Compact"/>
              <w:jc w:val="left"/>
            </w:pPr>
            <w:r>
              <w:t xml:space="preserve">التحليل والتهيئة</w:t>
            </w:r>
          </w:p>
        </w:tc>
        <w:tc>
          <w:p>
            <w:pPr>
              <w:pStyle w:val="Compact"/>
              <w:jc w:val="left"/>
            </w:pPr>
            <w:r>
              <w:t xml:space="preserve">الأسبوع 1–2</w:t>
            </w:r>
          </w:p>
        </w:tc>
        <w:tc>
          <w:p>
            <w:pPr>
              <w:pStyle w:val="Compact"/>
              <w:jc w:val="left"/>
            </w:pPr>
            <w:r>
              <w:t xml:space="preserve">ورشة تحليل، دليل حسابات المقاولات، تعريف المشاريع والمواقع ودفاتر الشيكات والحسابات البنكية الأربعة</w:t>
            </w:r>
          </w:p>
        </w:tc>
      </w:tr>
      <w:tr>
        <w:tc>
          <w:p>
            <w:pPr>
              <w:pStyle w:val="Compact"/>
              <w:jc w:val="left"/>
            </w:pPr>
            <w:r>
              <w:t xml:space="preserve">التطوير والتخصيص</w:t>
            </w:r>
          </w:p>
        </w:tc>
        <w:tc>
          <w:p>
            <w:pPr>
              <w:pStyle w:val="Compact"/>
              <w:jc w:val="left"/>
            </w:pPr>
            <w:r>
              <w:t xml:space="preserve">الأسبوع 3–5</w:t>
            </w:r>
          </w:p>
        </w:tc>
        <w:tc>
          <w:p>
            <w:pPr>
              <w:pStyle w:val="Compact"/>
              <w:jc w:val="left"/>
            </w:pPr>
            <w:r>
              <w:t xml:space="preserve">تهيئة الوحدات التسع، بناء الحسابات التحليلية، تخصيص التقارير والمستندات المطبوعة</w:t>
            </w:r>
          </w:p>
        </w:tc>
      </w:tr>
      <w:tr>
        <w:tc>
          <w:p>
            <w:pPr>
              <w:pStyle w:val="Compact"/>
              <w:jc w:val="left"/>
            </w:pPr>
            <w:r>
              <w:t xml:space="preserve">ترحيل البيانات</w:t>
            </w:r>
          </w:p>
        </w:tc>
        <w:tc>
          <w:p>
            <w:pPr>
              <w:pStyle w:val="Compact"/>
              <w:jc w:val="left"/>
            </w:pPr>
            <w:r>
              <w:t xml:space="preserve">الأسبوع 6</w:t>
            </w:r>
          </w:p>
        </w:tc>
        <w:tc>
          <w:p>
            <w:pPr>
              <w:pStyle w:val="Compact"/>
              <w:jc w:val="left"/>
            </w:pPr>
            <w:r>
              <w:t xml:space="preserve">ترحيل الأرصدة والعملاء والموردين والمخازن والشيكات القائمة، ومطابقتها</w:t>
            </w:r>
          </w:p>
        </w:tc>
      </w:tr>
      <w:tr>
        <w:tc>
          <w:p>
            <w:pPr>
              <w:pStyle w:val="Compact"/>
              <w:jc w:val="left"/>
            </w:pPr>
            <w:r>
              <w:t xml:space="preserve">اختبار القبول والتدريب</w:t>
            </w:r>
          </w:p>
        </w:tc>
        <w:tc>
          <w:p>
            <w:pPr>
              <w:pStyle w:val="Compact"/>
              <w:jc w:val="left"/>
            </w:pPr>
            <w:r>
              <w:t xml:space="preserve">الأسبوع 7–8</w:t>
            </w:r>
          </w:p>
        </w:tc>
        <w:tc>
          <w:p>
            <w:pPr>
              <w:pStyle w:val="Compact"/>
              <w:jc w:val="left"/>
            </w:pPr>
            <w:r>
              <w:t xml:space="preserve">اختبار قبول المستخدم (UAT)، تدريب المستخدمين الخمسة عشر، أدلة الاستخدام</w:t>
            </w:r>
          </w:p>
        </w:tc>
      </w:tr>
      <w:tr>
        <w:tc>
          <w:p>
            <w:pPr>
              <w:pStyle w:val="Compact"/>
              <w:jc w:val="left"/>
            </w:pPr>
            <w:r>
              <w:t xml:space="preserve">التشغيل الفعلي</w:t>
            </w:r>
          </w:p>
        </w:tc>
        <w:tc>
          <w:p>
            <w:pPr>
              <w:pStyle w:val="Compact"/>
              <w:jc w:val="left"/>
            </w:pPr>
            <w:r>
              <w:t xml:space="preserve">الأسبوع 8–10</w:t>
            </w:r>
          </w:p>
        </w:tc>
        <w:tc>
          <w:p>
            <w:pPr>
              <w:pStyle w:val="Compact"/>
              <w:jc w:val="left"/>
            </w:pPr>
            <w:r>
              <w:t xml:space="preserve">Go-Live ومتابعة لصيقة خلال أسابيع التشغيل الأولى</w:t>
            </w:r>
          </w:p>
        </w:tc>
      </w:tr>
      <w:tr>
        <w:tc>
          <w:p>
            <w:pPr>
              <w:pStyle w:val="Compact"/>
              <w:jc w:val="left"/>
            </w:pPr>
            <w:r>
              <w:t xml:space="preserve">الدعم بعد التشغيل</w:t>
            </w:r>
          </w:p>
        </w:tc>
        <w:tc>
          <w:p>
            <w:pPr>
              <w:pStyle w:val="Compact"/>
              <w:jc w:val="left"/>
            </w:pPr>
            <w:r>
              <w:t xml:space="preserve">12 شهراً</w:t>
            </w:r>
          </w:p>
        </w:tc>
        <w:tc>
          <w:p>
            <w:pPr>
              <w:pStyle w:val="Compact"/>
              <w:jc w:val="left"/>
            </w:pPr>
            <w:r>
              <w:t xml:space="preserve">دعم فني، معالجة الملاحظات، ضبط التقارير</w:t>
            </w:r>
          </w:p>
        </w:tc>
      </w:tr>
    </w:tbl>
    <w:p>
      <w:pPr>
        <w:pStyle w:val="Heading2"/>
      </w:pPr>
      <w:bookmarkStart w:id="33" w:name="الاستثمار-وخطة-الدفع"/>
      <w:r>
        <w:t xml:space="preserve">الاستثمار وخطة الدفع</w:t>
      </w:r>
      <w:bookmarkEnd w:id="33"/>
    </w:p>
    <w:p>
      <w:pPr>
        <w:pStyle w:val="FirstParagraph"/>
      </w:pPr>
      <w:r>
        <w:rPr>
          <w:b/>
        </w:rPr>
        <w:t xml:space="preserve">إجمالي الاستثمار: 2,500 KWD</w:t>
      </w:r>
      <w:r>
        <w:t xml:space="preserve"> </w:t>
      </w:r>
      <w:r>
        <w:t xml:space="preserve">— أربع دفعات مرتبطة بمراحل مُسلَّمة ومُعتمَدة.</w:t>
      </w:r>
    </w:p>
    <w:tbl>
      <w:tblPr>
        <w:tblStyle w:val="Table"/>
        <w:tblW w:type="pct" w:w="0.0"/>
        <w:tblLook w:firstRow="1"/>
      </w:tblPr>
      <w:tblGrid/>
      <w:tr>
        <w:trPr>
          <w:cnfStyle w:firstRow="1"/>
        </w:trPr>
        <w:tc>
          <w:tcPr>
            <w:tcBorders>
              <w:bottom w:val="single"/>
            </w:tcBorders>
            <w:vAlign w:val="bottom"/>
          </w:tcPr>
          <w:p>
            <w:pPr>
              <w:pStyle w:val="Compact"/>
              <w:jc w:val="left"/>
            </w:pPr>
            <w:r>
              <w:t xml:space="preserve">الدفعة</w:t>
            </w:r>
          </w:p>
        </w:tc>
        <w:tc>
          <w:tcPr>
            <w:tcBorders>
              <w:bottom w:val="single"/>
            </w:tcBorders>
            <w:vAlign w:val="bottom"/>
          </w:tcPr>
          <w:p>
            <w:pPr>
              <w:pStyle w:val="Compact"/>
              <w:jc w:val="left"/>
            </w:pPr>
            <w:r>
              <w:t xml:space="preserve">الوصف</w:t>
            </w:r>
          </w:p>
        </w:tc>
        <w:tc>
          <w:tcPr>
            <w:tcBorders>
              <w:bottom w:val="single"/>
            </w:tcBorders>
            <w:vAlign w:val="bottom"/>
          </w:tcPr>
          <w:p>
            <w:pPr>
              <w:pStyle w:val="Compact"/>
              <w:jc w:val="left"/>
            </w:pPr>
            <w:r>
              <w:t xml:space="preserve">المبلغ (KWD)</w:t>
            </w:r>
          </w:p>
        </w:tc>
        <w:tc>
          <w:tcPr>
            <w:tcBorders>
              <w:bottom w:val="single"/>
            </w:tcBorders>
            <w:vAlign w:val="bottom"/>
          </w:tcPr>
          <w:p>
            <w:pPr>
              <w:pStyle w:val="Compact"/>
              <w:jc w:val="left"/>
            </w:pPr>
            <w:r>
              <w:t xml:space="preserve">النسبة</w:t>
            </w:r>
          </w:p>
        </w:tc>
        <w:tc>
          <w:tcPr>
            <w:tcBorders>
              <w:bottom w:val="single"/>
            </w:tcBorders>
            <w:vAlign w:val="bottom"/>
          </w:tcPr>
          <w:p>
            <w:pPr>
              <w:pStyle w:val="Compact"/>
              <w:jc w:val="left"/>
            </w:pPr>
            <w:r>
              <w:t xml:space="preserve">شرط الاستحقاق</w:t>
            </w:r>
          </w:p>
        </w:tc>
      </w:tr>
      <w:tr>
        <w:tc>
          <w:p>
            <w:pPr>
              <w:pStyle w:val="Compact"/>
              <w:jc w:val="left"/>
            </w:pPr>
            <w:r>
              <w:t xml:space="preserve">الدفعة 1 — دفعة مقدمة</w:t>
            </w:r>
          </w:p>
        </w:tc>
        <w:tc>
          <w:p>
            <w:pPr>
              <w:pStyle w:val="Compact"/>
              <w:jc w:val="left"/>
            </w:pPr>
            <w:r>
              <w:t xml:space="preserve">انطلاق المشروع، تخصيص فريق التنفيذ، وورشة تحليل احتياجات المشاريع والمواقع ودفاتر الشيكات</w:t>
            </w:r>
          </w:p>
        </w:tc>
        <w:tc>
          <w:p>
            <w:pPr>
              <w:pStyle w:val="Compact"/>
              <w:jc w:val="left"/>
            </w:pPr>
            <w:r>
              <w:t xml:space="preserve">750</w:t>
            </w:r>
          </w:p>
        </w:tc>
        <w:tc>
          <w:p>
            <w:pPr>
              <w:pStyle w:val="Compact"/>
              <w:jc w:val="left"/>
            </w:pPr>
            <w:r>
              <w:t xml:space="preserve">30%</w:t>
            </w:r>
          </w:p>
        </w:tc>
        <w:tc>
          <w:p>
            <w:pPr>
              <w:pStyle w:val="Compact"/>
              <w:jc w:val="left"/>
            </w:pPr>
            <w:r>
              <w:t xml:space="preserve">عند التوقيع</w:t>
            </w:r>
          </w:p>
        </w:tc>
      </w:tr>
      <w:tr>
        <w:tc>
          <w:p>
            <w:pPr>
              <w:pStyle w:val="Compact"/>
              <w:jc w:val="left"/>
            </w:pPr>
            <w:r>
              <w:t xml:space="preserve">الدفعة 2</w:t>
            </w:r>
          </w:p>
        </w:tc>
        <w:tc>
          <w:p>
            <w:pPr>
              <w:pStyle w:val="Compact"/>
              <w:jc w:val="left"/>
            </w:pPr>
            <w:r>
              <w:t xml:space="preserve">تهيئة الوحدات التسع وتخصيصها، وبناء الحساب التحليلي لكل مشروع ودفتر الشيكات لكل موقع</w:t>
            </w:r>
          </w:p>
        </w:tc>
        <w:tc>
          <w:p>
            <w:pPr>
              <w:pStyle w:val="Compact"/>
              <w:jc w:val="left"/>
            </w:pPr>
            <w:r>
              <w:t xml:space="preserve">625</w:t>
            </w:r>
          </w:p>
        </w:tc>
        <w:tc>
          <w:p>
            <w:pPr>
              <w:pStyle w:val="Compact"/>
              <w:jc w:val="left"/>
            </w:pPr>
            <w:r>
              <w:t xml:space="preserve">25%</w:t>
            </w:r>
          </w:p>
        </w:tc>
        <w:tc>
          <w:p>
            <w:pPr>
              <w:pStyle w:val="Compact"/>
              <w:jc w:val="left"/>
            </w:pPr>
            <w:r>
              <w:t xml:space="preserve">عند اكتمال التهيئة والتطوير</w:t>
            </w:r>
          </w:p>
        </w:tc>
      </w:tr>
      <w:tr>
        <w:tc>
          <w:p>
            <w:pPr>
              <w:pStyle w:val="Compact"/>
              <w:jc w:val="left"/>
            </w:pPr>
            <w:r>
              <w:t xml:space="preserve">الدفعة 3</w:t>
            </w:r>
          </w:p>
        </w:tc>
        <w:tc>
          <w:p>
            <w:pPr>
              <w:pStyle w:val="Compact"/>
              <w:jc w:val="left"/>
            </w:pPr>
            <w:r>
              <w:t xml:space="preserve">ترحيل البيانات والشيكات القائمة، واختبار القبول (UAT)، وتدريب المستخدمين</w:t>
            </w:r>
          </w:p>
        </w:tc>
        <w:tc>
          <w:p>
            <w:pPr>
              <w:pStyle w:val="Compact"/>
              <w:jc w:val="left"/>
            </w:pPr>
            <w:r>
              <w:t xml:space="preserve">625</w:t>
            </w:r>
          </w:p>
        </w:tc>
        <w:tc>
          <w:p>
            <w:pPr>
              <w:pStyle w:val="Compact"/>
              <w:jc w:val="left"/>
            </w:pPr>
            <w:r>
              <w:t xml:space="preserve">25%</w:t>
            </w:r>
          </w:p>
        </w:tc>
        <w:tc>
          <w:p>
            <w:pPr>
              <w:pStyle w:val="Compact"/>
              <w:jc w:val="left"/>
            </w:pPr>
            <w:r>
              <w:t xml:space="preserve">عند اكتمال الترحيل والاختبار والتدريب</w:t>
            </w:r>
          </w:p>
        </w:tc>
      </w:tr>
      <w:tr>
        <w:tc>
          <w:p>
            <w:pPr>
              <w:pStyle w:val="Compact"/>
              <w:jc w:val="left"/>
            </w:pPr>
            <w:r>
              <w:t xml:space="preserve">الدفعة 4</w:t>
            </w:r>
          </w:p>
        </w:tc>
        <w:tc>
          <w:p>
            <w:pPr>
              <w:pStyle w:val="Compact"/>
              <w:jc w:val="left"/>
            </w:pPr>
            <w:r>
              <w:t xml:space="preserve">استقرار التشغيل الفعلي</w:t>
            </w:r>
          </w:p>
        </w:tc>
        <w:tc>
          <w:p>
            <w:pPr>
              <w:pStyle w:val="Compact"/>
              <w:jc w:val="left"/>
            </w:pPr>
            <w:r>
              <w:t xml:space="preserve">500</w:t>
            </w:r>
          </w:p>
        </w:tc>
        <w:tc>
          <w:p>
            <w:pPr>
              <w:pStyle w:val="Compact"/>
              <w:jc w:val="left"/>
            </w:pPr>
            <w:r>
              <w:t xml:space="preserve">20%</w:t>
            </w:r>
          </w:p>
        </w:tc>
        <w:tc>
          <w:p>
            <w:pPr>
              <w:pStyle w:val="Compact"/>
              <w:jc w:val="left"/>
            </w:pPr>
            <w:r>
              <w:t xml:space="preserve">بعد 30 يوماً من التشغيل الفعلي</w:t>
            </w:r>
          </w:p>
        </w:tc>
      </w:tr>
      <w:tr>
        <w:tc>
          <w:p>
            <w:pPr>
              <w:pStyle w:val="Compact"/>
              <w:jc w:val="left"/>
            </w:pPr>
            <w:r>
              <w:rPr>
                <w:b/>
              </w:rPr>
              <w:t xml:space="preserve">الإجمالي</w:t>
            </w:r>
          </w:p>
        </w:tc>
        <w:tc>
          <w:p/>
        </w:tc>
        <w:tc>
          <w:p>
            <w:pPr>
              <w:pStyle w:val="Compact"/>
              <w:jc w:val="left"/>
            </w:pPr>
            <w:r>
              <w:rPr>
                <w:b/>
              </w:rPr>
              <w:t xml:space="preserve">2,500</w:t>
            </w:r>
          </w:p>
        </w:tc>
        <w:tc>
          <w:p>
            <w:pPr>
              <w:pStyle w:val="Compact"/>
              <w:jc w:val="left"/>
            </w:pPr>
            <w:r>
              <w:rPr>
                <w:b/>
              </w:rPr>
              <w:t xml:space="preserve">100%</w:t>
            </w:r>
          </w:p>
        </w:tc>
        <w:tc>
          <w:p/>
        </w:tc>
      </w:tr>
    </w:tbl>
    <w:p>
      <w:pPr>
        <w:pStyle w:val="Heading2"/>
      </w:pPr>
      <w:bookmarkStart w:id="34" w:name="ما-يشمله-العرض"/>
      <w:r>
        <w:t xml:space="preserve">ما يشمله العرض</w:t>
      </w:r>
      <w:bookmarkEnd w:id="34"/>
    </w:p>
    <w:p>
      <w:pPr>
        <w:numPr>
          <w:ilvl w:val="0"/>
          <w:numId w:val="1011"/>
        </w:numPr>
        <w:pStyle w:val="Compact"/>
      </w:pPr>
      <w:r>
        <w:t xml:space="preserve">تسع وحدات متكاملة على نظام Odoo 18 ERP.</w:t>
      </w:r>
    </w:p>
    <w:p>
      <w:pPr>
        <w:numPr>
          <w:ilvl w:val="0"/>
          <w:numId w:val="1011"/>
        </w:numPr>
        <w:pStyle w:val="Compact"/>
      </w:pPr>
      <w:r>
        <w:t xml:space="preserve">15 مستخدماً مسمّى.</w:t>
      </w:r>
    </w:p>
    <w:p>
      <w:pPr>
        <w:numPr>
          <w:ilvl w:val="0"/>
          <w:numId w:val="1011"/>
        </w:numPr>
        <w:pStyle w:val="Compact"/>
      </w:pPr>
      <w:r>
        <w:t xml:space="preserve">مدة تنفيذ 8–10 أسابيع.</w:t>
      </w:r>
    </w:p>
    <w:p>
      <w:pPr>
        <w:numPr>
          <w:ilvl w:val="0"/>
          <w:numId w:val="1011"/>
        </w:numPr>
        <w:pStyle w:val="Compact"/>
      </w:pPr>
      <w:r>
        <w:t xml:space="preserve">ترحيل البيانات القائمة، بما فيها الشيكات تحت التحصيل والصادرة المؤجلة.</w:t>
      </w:r>
    </w:p>
    <w:p>
      <w:pPr>
        <w:numPr>
          <w:ilvl w:val="0"/>
          <w:numId w:val="1011"/>
        </w:numPr>
        <w:pStyle w:val="Compact"/>
      </w:pPr>
      <w:r>
        <w:t xml:space="preserve">تدريب المستخدمين وأدلة الاستخدام.</w:t>
      </w:r>
    </w:p>
    <w:p>
      <w:pPr>
        <w:numPr>
          <w:ilvl w:val="0"/>
          <w:numId w:val="1011"/>
        </w:numPr>
        <w:pStyle w:val="Compact"/>
      </w:pPr>
      <w:r>
        <w:t xml:space="preserve">دعم فني لمدة 12 شهراً بعد التشغيل الفعلي.</w:t>
      </w:r>
    </w:p>
    <w:p>
      <w:pPr>
        <w:numPr>
          <w:ilvl w:val="0"/>
          <w:numId w:val="1011"/>
        </w:numPr>
        <w:pStyle w:val="Compact"/>
      </w:pPr>
      <w:r>
        <w:t xml:space="preserve">الاستضافة سحابية، ويُوصى بـ Odoo.sh.</w:t>
      </w:r>
    </w:p>
    <w:p>
      <w:pPr>
        <w:pStyle w:val="Heading2"/>
      </w:pPr>
      <w:bookmarkStart w:id="35" w:name="الرسوم-الإضافية"/>
      <w:r>
        <w:t xml:space="preserve">الرسوم الإضافية</w:t>
      </w:r>
      <w:bookmarkEnd w:id="35"/>
    </w:p>
    <w:p>
      <w:pPr>
        <w:numPr>
          <w:ilvl w:val="0"/>
          <w:numId w:val="1012"/>
        </w:numPr>
        <w:pStyle w:val="Compact"/>
      </w:pPr>
      <w:r>
        <w:t xml:space="preserve">مستخدم مسمّى إضافي: 45 KWD — رسم لمرة واحدة.</w:t>
      </w:r>
    </w:p>
    <w:p>
      <w:pPr>
        <w:numPr>
          <w:ilvl w:val="0"/>
          <w:numId w:val="1012"/>
        </w:numPr>
        <w:pStyle w:val="Compact"/>
      </w:pPr>
      <w:r>
        <w:t xml:space="preserve">الأعمال خارج نطاق هذا العرض: 25 KWD للساعة، باعتماد مسبق من العميل.</w:t>
      </w:r>
    </w:p>
    <w:p>
      <w:pPr>
        <w:numPr>
          <w:ilvl w:val="0"/>
          <w:numId w:val="1012"/>
        </w:numPr>
        <w:pStyle w:val="Compact"/>
      </w:pPr>
      <w:r>
        <w:t xml:space="preserve">الصيانة السنوية بعد انتهاء فترة الدعم: 20% من قيمة العقد سنوياً.</w:t>
      </w:r>
    </w:p>
    <w:p>
      <w:pPr>
        <w:numPr>
          <w:ilvl w:val="0"/>
          <w:numId w:val="1012"/>
        </w:numPr>
        <w:pStyle w:val="Compact"/>
      </w:pPr>
      <w:r>
        <w:t xml:space="preserve">رسوم الاستضافة وتراخيص الطرف الثالث تُدفع مباشرة لمزوّد الخدمة وهي خارج هذا العرض.</w:t>
      </w:r>
    </w:p>
    <w:p>
      <w:pPr>
        <w:pStyle w:val="Heading2"/>
      </w:pPr>
      <w:bookmarkStart w:id="36" w:name="الملاحظات-والشروط"/>
      <w:r>
        <w:t xml:space="preserve">الملاحظات والشروط</w:t>
      </w:r>
      <w:bookmarkEnd w:id="36"/>
    </w:p>
    <w:p>
      <w:pPr>
        <w:numPr>
          <w:ilvl w:val="0"/>
          <w:numId w:val="1013"/>
        </w:numPr>
        <w:pStyle w:val="Compact"/>
      </w:pPr>
      <w:r>
        <w:t xml:space="preserve">العميل لا يدفع إلا مقابل ما استلمه فعلياً؛ كل دفعة مرتبطة بمرحلة مُسلَّمة ومُعتمَدة.</w:t>
      </w:r>
    </w:p>
    <w:p>
      <w:pPr>
        <w:numPr>
          <w:ilvl w:val="0"/>
          <w:numId w:val="1013"/>
        </w:numPr>
        <w:pStyle w:val="Compact"/>
      </w:pPr>
      <w:r>
        <w:t xml:space="preserve">أي متطلب نتفق معاً على أنه جوهري لقطاع المقاولات يُضاف ويُطوَّر ويُنفَّذ عند الطلب ضمن نطاق العرض.</w:t>
      </w:r>
    </w:p>
    <w:p>
      <w:pPr>
        <w:numPr>
          <w:ilvl w:val="0"/>
          <w:numId w:val="1013"/>
        </w:numPr>
        <w:pStyle w:val="Compact"/>
      </w:pPr>
      <w:r>
        <w:t xml:space="preserve">الأسعار بالدينار الكويتي KWD ولا تشمل رسوم الاستضافة أو تراخيص الطرف الثالث.</w:t>
      </w:r>
    </w:p>
    <w:p>
      <w:pPr>
        <w:numPr>
          <w:ilvl w:val="0"/>
          <w:numId w:val="1013"/>
        </w:numPr>
        <w:pStyle w:val="Compact"/>
      </w:pPr>
      <w:r>
        <w:t xml:space="preserve">مهلة سداد كل دفعة 15 يوماً من تاريخ استحقاقها.</w:t>
      </w:r>
    </w:p>
    <w:p>
      <w:pPr>
        <w:numPr>
          <w:ilvl w:val="0"/>
          <w:numId w:val="1013"/>
        </w:numPr>
        <w:pStyle w:val="Compact"/>
      </w:pPr>
      <w:r>
        <w:t xml:space="preserve">الدعم الفني 12 شهراً بعد التشغيل، ثم صيانة سنوية بنسبة 20% من قيمة العقد.</w:t>
      </w:r>
    </w:p>
    <w:p>
      <w:pPr>
        <w:numPr>
          <w:ilvl w:val="0"/>
          <w:numId w:val="1013"/>
        </w:numPr>
        <w:pStyle w:val="Compact"/>
      </w:pPr>
      <w:r>
        <w:t xml:space="preserve">هذا العرض صالح حتى 20 أغسطس 2026.</w:t>
      </w:r>
    </w:p>
    <w:p>
      <w:pPr>
        <w:pStyle w:val="Heading2"/>
      </w:pPr>
      <w:bookmarkStart w:id="37" w:name="الخطوات-التالية"/>
      <w:r>
        <w:t xml:space="preserve">الخطوات التالية</w:t>
      </w:r>
      <w:bookmarkEnd w:id="37"/>
    </w:p>
    <w:p>
      <w:pPr>
        <w:numPr>
          <w:ilvl w:val="0"/>
          <w:numId w:val="1014"/>
        </w:numPr>
        <w:pStyle w:val="Compact"/>
      </w:pPr>
      <w:r>
        <w:t xml:space="preserve">اعتماد العرض.</w:t>
      </w:r>
    </w:p>
    <w:p>
      <w:pPr>
        <w:numPr>
          <w:ilvl w:val="0"/>
          <w:numId w:val="1014"/>
        </w:numPr>
        <w:pStyle w:val="Compact"/>
      </w:pPr>
      <w:r>
        <w:t xml:space="preserve">توقيع العقد وسداد الدفعة المقدمة.</w:t>
      </w:r>
    </w:p>
    <w:p>
      <w:pPr>
        <w:numPr>
          <w:ilvl w:val="0"/>
          <w:numId w:val="1014"/>
        </w:numPr>
        <w:pStyle w:val="Compact"/>
      </w:pPr>
      <w:r>
        <w:t xml:space="preserve">ورشة التحليل مع فريق الشركة لتعريف المشاريع والمواقع ودفاتر الشيكات والحسابات البنكية الأربعة.</w:t>
      </w:r>
    </w:p>
    <w:p>
      <w:pPr>
        <w:numPr>
          <w:ilvl w:val="0"/>
          <w:numId w:val="1014"/>
        </w:numPr>
        <w:pStyle w:val="Compact"/>
      </w:pPr>
      <w:r>
        <w:t xml:space="preserve">بدء التنفيذ وفق الجدول الزمني أعلاه.</w:t>
      </w:r>
    </w:p>
    <w:p>
      <w:pPr>
        <w:pStyle w:val="Heading2"/>
      </w:pPr>
      <w:bookmarkStart w:id="38" w:name="التوقيعات"/>
      <w:r>
        <w:t xml:space="preserve">التوقيعات</w:t>
      </w:r>
      <w:bookmarkEnd w:id="38"/>
    </w:p>
    <w:tbl>
      <w:tblPr>
        <w:tblStyle w:val="Table"/>
        <w:tblW w:type="pct" w:w="0.0"/>
        <w:tblLook w:firstRow="1"/>
      </w:tblPr>
      <w:tblGrid/>
      <w:tr>
        <w:trPr>
          <w:cnfStyle w:firstRow="1"/>
        </w:trPr>
        <w:tc>
          <w:tcPr>
            <w:tcBorders>
              <w:bottom w:val="single"/>
            </w:tcBorders>
            <w:vAlign w:val="bottom"/>
          </w:tcPr>
          <w:p>
            <w:pPr>
              <w:pStyle w:val="Compact"/>
              <w:jc w:val="left"/>
            </w:pPr>
            <w:r>
              <w:t xml:space="preserve">عن شركة ديكسور للحلول المتكاملة الحاسوبية ذ.م.م</w:t>
            </w:r>
          </w:p>
        </w:tc>
        <w:tc>
          <w:tcPr>
            <w:tcBorders>
              <w:bottom w:val="single"/>
            </w:tcBorders>
            <w:vAlign w:val="bottom"/>
          </w:tcPr>
          <w:p>
            <w:pPr>
              <w:pStyle w:val="Compact"/>
              <w:jc w:val="left"/>
            </w:pPr>
            <w:r>
              <w:t xml:space="preserve">عن شركة لؤلؤة الشايع</w:t>
            </w:r>
          </w:p>
        </w:tc>
      </w:tr>
      <w:tr>
        <w:tc>
          <w:p>
            <w:pPr>
              <w:pStyle w:val="Compact"/>
              <w:jc w:val="left"/>
            </w:pPr>
            <w:r>
              <w:t xml:space="preserve">الاسم: ......................................</w:t>
            </w:r>
          </w:p>
        </w:tc>
        <w:tc>
          <w:p>
            <w:pPr>
              <w:pStyle w:val="Compact"/>
              <w:jc w:val="left"/>
            </w:pPr>
            <w:r>
              <w:t xml:space="preserve">الاسم: ......................................</w:t>
            </w:r>
          </w:p>
        </w:tc>
      </w:tr>
      <w:tr>
        <w:tc>
          <w:p>
            <w:pPr>
              <w:pStyle w:val="Compact"/>
              <w:jc w:val="left"/>
            </w:pPr>
            <w:r>
              <w:t xml:space="preserve">الصفة: ......................................</w:t>
            </w:r>
          </w:p>
        </w:tc>
        <w:tc>
          <w:p>
            <w:pPr>
              <w:pStyle w:val="Compact"/>
              <w:jc w:val="left"/>
            </w:pPr>
            <w:r>
              <w:t xml:space="preserve">الصفة: ......................................</w:t>
            </w:r>
          </w:p>
        </w:tc>
      </w:tr>
      <w:tr>
        <w:tc>
          <w:p>
            <w:pPr>
              <w:pStyle w:val="Compact"/>
              <w:jc w:val="left"/>
            </w:pPr>
            <w:r>
              <w:t xml:space="preserve">التوقيع: ....................................</w:t>
            </w:r>
          </w:p>
        </w:tc>
        <w:tc>
          <w:p>
            <w:pPr>
              <w:pStyle w:val="Compact"/>
              <w:jc w:val="left"/>
            </w:pPr>
            <w:r>
              <w:t xml:space="preserve">التوقيع: ....................................</w:t>
            </w:r>
          </w:p>
        </w:tc>
      </w:tr>
      <w:tr>
        <w:tc>
          <w:p>
            <w:pPr>
              <w:pStyle w:val="Compact"/>
              <w:jc w:val="left"/>
            </w:pPr>
            <w:r>
              <w:t xml:space="preserve">التاريخ: ....................................</w:t>
            </w:r>
          </w:p>
        </w:tc>
        <w:tc>
          <w:p>
            <w:pPr>
              <w:pStyle w:val="Compact"/>
              <w:jc w:val="left"/>
            </w:pPr>
            <w:r>
              <w:t xml:space="preserve">التاريخ: ....................................</w:t>
            </w:r>
          </w:p>
        </w:tc>
      </w:tr>
    </w:tbl>
    <w:p>
      <w:pPr>
        <w:pStyle w:val="BodyText"/>
      </w:pPr>
      <w:r>
        <w:rPr>
          <w:i/>
        </w:rPr>
        <w:t xml:space="preserve">DEXOR — Systems with Souls | شريك أودو المعتمد | info@dexor.ae | www.dexor.ae | ‎+20 15 501 42 885 | الكويت</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a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عرض سعر QT-2026-0812-001 — شركة لؤلؤة الشايع</dc:title>
  <dc:creator/>
  <dc:language>ar</dc:language>
  <cp:keywords/>
  <dcterms:created xsi:type="dcterms:W3CDTF">2026-08-12T12:01:19Z</dcterms:created>
  <dcterms:modified xsi:type="dcterms:W3CDTF">2026-08-12T12:01:19Z</dcterms:modified>
</cp:coreProperties>
</file>

<file path=docProps/custom.xml><?xml version="1.0" encoding="utf-8"?>
<Properties xmlns="http://schemas.openxmlformats.org/officeDocument/2006/custom-properties" xmlns:vt="http://schemas.openxmlformats.org/officeDocument/2006/docPropsVTypes"/>
</file>