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Dexor</w:t>
      </w:r>
      <w:r>
        <w:t xml:space="preserve"> </w:t>
      </w:r>
      <w:r>
        <w:t xml:space="preserve">—</w:t>
      </w:r>
      <w:r>
        <w:t xml:space="preserve"> </w:t>
      </w:r>
      <w:r>
        <w:t xml:space="preserve">Professional</w:t>
      </w:r>
      <w:r>
        <w:t xml:space="preserve"> </w:t>
      </w:r>
      <w:r>
        <w:t xml:space="preserve">Services</w:t>
      </w:r>
      <w:r>
        <w:t xml:space="preserve"> </w:t>
      </w:r>
      <w:r>
        <w:t xml:space="preserve">Agreement</w:t>
      </w:r>
      <w:r>
        <w:t xml:space="preserve"> </w:t>
      </w:r>
      <w:r>
        <w:t xml:space="preserve">·</w:t>
      </w:r>
      <w:r>
        <w:t xml:space="preserve"> </w:t>
      </w:r>
      <w:r>
        <w:t xml:space="preserve">Benaa</w:t>
      </w:r>
      <w:r>
        <w:t xml:space="preserve"> </w:t>
      </w:r>
      <w:r>
        <w:t xml:space="preserve">Base</w:t>
      </w:r>
      <w:r>
        <w:t xml:space="preserve"> </w:t>
      </w:r>
      <w:r>
        <w:t xml:space="preserve">Company</w:t>
      </w:r>
      <w:r>
        <w:t xml:space="preserve"> </w:t>
      </w:r>
      <w:r>
        <w:t xml:space="preserve">·</w:t>
      </w:r>
      <w:r>
        <w:t xml:space="preserve"> </w:t>
      </w:r>
      <w:r>
        <w:t xml:space="preserve">DX-2026-011</w:t>
      </w:r>
    </w:p>
    <w:p>
      <w:pPr>
        <w:pStyle w:val="Heading1"/>
      </w:pPr>
      <w:bookmarkStart w:id="20" w:name="professional-services-agreement"/>
      <w:r>
        <w:t xml:space="preserve">Professional Services Agreement</w:t>
      </w:r>
      <w:bookmarkEnd w:id="20"/>
    </w:p>
    <w:p>
      <w:pPr>
        <w:pStyle w:val="Heading1"/>
      </w:pPr>
      <w:bookmarkStart w:id="21" w:name="اتفاقية-خدمات-مهنية"/>
      <w:r>
        <w:t xml:space="preserve">اتفاقية خدمات مهنية</w:t>
      </w:r>
      <w:bookmarkEnd w:id="21"/>
    </w:p>
    <w:p>
      <w:pPr>
        <w:pStyle w:val="FirstParagraph"/>
      </w:pPr>
      <w:r>
        <w:rPr>
          <w:b/>
        </w:rPr>
        <w:t xml:space="preserve">Service Provider:</w:t>
      </w:r>
      <w:r>
        <w:t xml:space="preserve"> </w:t>
      </w:r>
      <w:r>
        <w:t xml:space="preserve">Dexor Integrated Computer Solutions Co. W.L.L.  | </w:t>
      </w:r>
      <w:r>
        <w:t xml:space="preserve"> </w:t>
      </w:r>
      <w:r>
        <w:rPr>
          <w:b/>
        </w:rPr>
        <w:t xml:space="preserve">Client:</w:t>
      </w:r>
      <w:r>
        <w:t xml:space="preserve"> </w:t>
      </w:r>
      <w:r>
        <w:t xml:space="preserve">Benaa Base Company  | </w:t>
      </w:r>
      <w:r>
        <w:t xml:space="preserve"> </w:t>
      </w:r>
      <w:r>
        <w:rPr>
          <w:b/>
        </w:rPr>
        <w:t xml:space="preserve">Contract Reference:</w:t>
      </w:r>
      <w:r>
        <w:t xml:space="preserve"> </w:t>
      </w:r>
      <w:r>
        <w:t xml:space="preserve">DX-2026-011  | </w:t>
      </w:r>
      <w:r>
        <w:t xml:space="preserve"> </w:t>
      </w:r>
      <w:r>
        <w:rPr>
          <w:b/>
        </w:rPr>
        <w:t xml:space="preserve">Effective Date:</w:t>
      </w:r>
      <w:r>
        <w:t xml:space="preserve"> </w:t>
      </w:r>
      <w:r>
        <w:t xml:space="preserve">03 / 08 / 2026  | </w:t>
      </w:r>
      <w:r>
        <w:t xml:space="preserve"> </w:t>
      </w:r>
      <w:r>
        <w:rPr>
          <w:b/>
        </w:rPr>
        <w:t xml:space="preserve">Currency:</w:t>
      </w:r>
      <w:r>
        <w:t xml:space="preserve"> </w:t>
      </w:r>
      <w:r>
        <w:t xml:space="preserve">KWD</w:t>
      </w:r>
    </w:p>
    <w:p>
      <w:pPr>
        <w:pStyle w:val="BodyText"/>
      </w:pPr>
      <w:r>
        <w:rPr>
          <w:b/>
        </w:rPr>
        <w:t xml:space="preserve">مزود الخدمة:</w:t>
      </w:r>
      <w:r>
        <w:t xml:space="preserve"> </w:t>
      </w:r>
      <w:r>
        <w:t xml:space="preserve">شركة ديكسور للحلول المتكاملة الحاسوبية ذ.م.م  | </w:t>
      </w:r>
      <w:r>
        <w:t xml:space="preserve"> </w:t>
      </w:r>
      <w:r>
        <w:rPr>
          <w:b/>
        </w:rPr>
        <w:t xml:space="preserve">العميل:</w:t>
      </w:r>
      <w:r>
        <w:t xml:space="preserve"> </w:t>
      </w:r>
      <w:r>
        <w:t xml:space="preserve">شركة بناء بيز  | </w:t>
      </w:r>
      <w:r>
        <w:t xml:space="preserve"> </w:t>
      </w:r>
      <w:r>
        <w:rPr>
          <w:b/>
        </w:rPr>
        <w:t xml:space="preserve">مرجع العقد:</w:t>
      </w:r>
      <w:r>
        <w:t xml:space="preserve"> </w:t>
      </w:r>
      <w:r>
        <w:t xml:space="preserve">DX-2026-011  | </w:t>
      </w:r>
      <w:r>
        <w:t xml:space="preserve"> </w:t>
      </w:r>
      <w:r>
        <w:rPr>
          <w:b/>
        </w:rPr>
        <w:t xml:space="preserve">تاريخ السريان:</w:t>
      </w:r>
      <w:r>
        <w:t xml:space="preserve"> </w:t>
      </w:r>
      <w:r>
        <w:t xml:space="preserve">03 / 08 / 2026  | </w:t>
      </w:r>
      <w:r>
        <w:t xml:space="preserve"> </w:t>
      </w:r>
      <w:r>
        <w:rPr>
          <w:b/>
        </w:rPr>
        <w:t xml:space="preserve">العملة:</w:t>
      </w:r>
      <w:r>
        <w:t xml:space="preserve"> </w:t>
      </w:r>
      <w:r>
        <w:t xml:space="preserve">د.ك</w:t>
      </w:r>
    </w:p>
    <w:p>
      <w:pPr>
        <w:pStyle w:val="BodyText"/>
      </w:pPr>
      <w:r>
        <w:t xml:space="preserve">A bilingual framework agreement for the supply of information-technology and business-systems services by Dexor Integrated Computer Solutions Co. W.L.L. (Commercial Register 551952, State of Kuwait) to Benaa Base Company. Executed in English and Arabic; in case of any discrepancy the</w:t>
      </w:r>
      <w:r>
        <w:t xml:space="preserve"> </w:t>
      </w:r>
      <w:r>
        <w:rPr>
          <w:b/>
        </w:rPr>
        <w:t xml:space="preserve">Arabic text prevails</w:t>
      </w:r>
      <w:r>
        <w:t xml:space="preserve">.</w:t>
      </w:r>
    </w:p>
    <w:p>
      <w:pPr>
        <w:pStyle w:val="BodyText"/>
      </w:pPr>
      <w:r>
        <w:t xml:space="preserve">اتفاقية إطارية ثنائية اللغة لتقديم خدمات تقنية المعلومات وأنظمة الأعمال من شركة ديكسور للحلول المتكاملة الحاسوبية ذ.م.م (السجل التجاري 551952، دولة الكويت) إلى شركة بناء بيز. حُرِّرت باللغتين الإنجليزية والعربية، و</w:t>
      </w:r>
      <w:r>
        <w:rPr>
          <w:b/>
        </w:rPr>
        <w:t xml:space="preserve">عند أي اختلاف يُعتد بالنص العربي</w:t>
      </w:r>
      <w:r>
        <w:t xml:space="preserve">.</w:t>
      </w:r>
    </w:p>
    <w:p>
      <w:pPr>
        <w:pStyle w:val="Heading2"/>
      </w:pPr>
      <w:bookmarkStart w:id="22" w:name="letter-of-engagement"/>
      <w:r>
        <w:t xml:space="preserve">Letter of Engagement</w:t>
      </w:r>
      <w:bookmarkEnd w:id="22"/>
    </w:p>
    <w:p>
      <w:pPr>
        <w:pStyle w:val="Heading2"/>
      </w:pPr>
      <w:bookmarkStart w:id="23" w:name="خطاب-الارتباط"/>
      <w:r>
        <w:t xml:space="preserve">خطاب الارتباط</w:t>
      </w:r>
      <w:bookmarkEnd w:id="23"/>
    </w:p>
    <w:p>
      <w:pPr>
        <w:pStyle w:val="FirstParagraph"/>
      </w:pPr>
      <w:r>
        <w:t xml:space="preserve">Kuwait · 3 August 2026 · Ref. DX-2026-011</w:t>
      </w:r>
    </w:p>
    <w:p>
      <w:pPr>
        <w:pStyle w:val="BodyText"/>
      </w:pPr>
      <w:r>
        <w:rPr>
          <w:b/>
        </w:rPr>
        <w:t xml:space="preserve">Attn. Mr. Nawaf Al Enezi — Benaa Base Company, Salhiya Street, Kuwait City</w:t>
      </w:r>
    </w:p>
    <w:p>
      <w:pPr>
        <w:pStyle w:val="BodyText"/>
      </w:pPr>
      <w:r>
        <w:t xml:space="preserve">Thank you for the confidence you have placed in Dexor. We are pleased to confirm our engagement to deliver information-technology and business-systems services to Benaa Base Company under the terms of this Agreement.</w:t>
      </w:r>
    </w:p>
    <w:p>
      <w:pPr>
        <w:pStyle w:val="BodyText"/>
      </w:pPr>
      <w:r>
        <w:t xml:space="preserve">This document is written as a</w:t>
      </w:r>
      <w:r>
        <w:t xml:space="preserve"> </w:t>
      </w:r>
      <w:r>
        <w:rPr>
          <w:b/>
        </w:rPr>
        <w:t xml:space="preserve">framework</w:t>
      </w:r>
      <w:r>
        <w:t xml:space="preserve">: it fixes once — and for every future package of work — who the Parties are, how work is authorised, how a Deliverable is accepted, how it is paid for, who owns the data and the software, and which law applies. Each individual package of Services is then commissioned by a short signed Work Order that carries only its own scope, dates and value, recorded in</w:t>
      </w:r>
      <w:r>
        <w:t xml:space="preserve"> </w:t>
      </w:r>
      <w:r>
        <w:rPr>
          <w:b/>
        </w:rPr>
        <w:t xml:space="preserve">Annex A</w:t>
      </w:r>
      <w:r>
        <w:t xml:space="preserve">.</w:t>
      </w:r>
    </w:p>
    <w:p>
      <w:pPr>
        <w:pStyle w:val="BodyText"/>
      </w:pPr>
      <w:r>
        <w:t xml:space="preserve">Two commitments are worth stating up front:</w:t>
      </w:r>
    </w:p>
    <w:p>
      <w:pPr>
        <w:numPr>
          <w:ilvl w:val="0"/>
          <w:numId w:val="1001"/>
        </w:numPr>
        <w:pStyle w:val="Compact"/>
      </w:pPr>
      <w:r>
        <w:rPr>
          <w:b/>
        </w:rPr>
        <w:t xml:space="preserve">You pay against delivery.</w:t>
      </w:r>
      <w:r>
        <w:t xml:space="preserve"> </w:t>
      </w:r>
      <w:r>
        <w:t xml:space="preserve">50% falls due on signing and the remaining 50% only on delivery and Acceptance of the agreed Deliverables.</w:t>
      </w:r>
    </w:p>
    <w:p>
      <w:pPr>
        <w:numPr>
          <w:ilvl w:val="0"/>
          <w:numId w:val="1001"/>
        </w:numPr>
        <w:pStyle w:val="Compact"/>
      </w:pPr>
      <w:r>
        <w:rPr>
          <w:b/>
        </w:rPr>
        <w:t xml:space="preserve">Your data stays yours.</w:t>
      </w:r>
      <w:r>
        <w:t xml:space="preserve"> </w:t>
      </w:r>
      <w:r>
        <w:t xml:space="preserve">It is exported to you in a standard readable format on request, at any time, and is never passed to a third party without your written consent.</w:t>
      </w:r>
    </w:p>
    <w:p>
      <w:pPr>
        <w:pStyle w:val="FirstParagraph"/>
      </w:pPr>
      <w:r>
        <w:t xml:space="preserve">Our registration, licensing and signing authority are set out in full in</w:t>
      </w:r>
      <w:r>
        <w:t xml:space="preserve"> </w:t>
      </w:r>
      <w:r>
        <w:rPr>
          <w:b/>
        </w:rPr>
        <w:t xml:space="preserve">Annex B</w:t>
      </w:r>
      <w:r>
        <w:t xml:space="preserve"> </w:t>
      </w:r>
      <w:r>
        <w:t xml:space="preserve">so that your procurement team can verify us without a further request.</w:t>
      </w:r>
    </w:p>
    <w:p>
      <w:pPr>
        <w:pStyle w:val="BodyText"/>
      </w:pPr>
      <w:r>
        <w:t xml:space="preserve">With our sincere regards,</w:t>
      </w:r>
    </w:p>
    <w:p>
      <w:pPr>
        <w:pStyle w:val="BodyText"/>
      </w:pPr>
      <w:r>
        <w:rPr>
          <w:b/>
        </w:rPr>
        <w:t xml:space="preserve">Eng. Hisham</w:t>
      </w:r>
      <w:r>
        <w:t xml:space="preserve"> </w:t>
      </w:r>
      <w:r>
        <w:t xml:space="preserve">— Dexor Integrated Computer Solutions Co. W.L.L. · info@dexor.ae · Kuwait</w:t>
      </w:r>
    </w:p>
    <w:p>
      <w:pPr>
        <w:pStyle w:val="BodyText"/>
      </w:pPr>
      <w:r>
        <w:t xml:space="preserve">الكويت · 3 أغسطس 2026 · مرجع DX-2026-011</w:t>
      </w:r>
    </w:p>
    <w:p>
      <w:pPr>
        <w:pStyle w:val="BodyText"/>
      </w:pPr>
      <w:r>
        <w:rPr>
          <w:b/>
        </w:rPr>
        <w:t xml:space="preserve">عناية / السيد / نواف العنزي — شركة بناء بيز، شارع الصالحية، مدينة الكويت</w:t>
      </w:r>
    </w:p>
    <w:p>
      <w:pPr>
        <w:pStyle w:val="BodyText"/>
      </w:pPr>
      <w:r>
        <w:t xml:space="preserve">نشكركم على ثقتكم بشركة ديكسور، ويسعدنا تأكيد ارتباطنا بتقديم خدمات تقنية المعلومات وأنظمة الأعمال لشركة بناء بيز وفق شروط هذه الاتفاقية.</w:t>
      </w:r>
    </w:p>
    <w:p>
      <w:pPr>
        <w:pStyle w:val="BodyText"/>
      </w:pPr>
      <w:r>
        <w:t xml:space="preserve">حُرِّر هذا المستند بوصفه</w:t>
      </w:r>
      <w:r>
        <w:t xml:space="preserve"> </w:t>
      </w:r>
      <w:r>
        <w:rPr>
          <w:b/>
        </w:rPr>
        <w:t xml:space="preserve">اتفاقية إطارية</w:t>
      </w:r>
      <w:r>
        <w:t xml:space="preserve">: فهو يحدد مرة واحدة — ولكل حزمة أعمال مستقبلية — من هما الطرفان، وكيف تُعتمد الأعمال، وكيف يُقبل المُخرَج، وكيف تُسدَّد قيمته، ولمن تعود ملكية البيانات والبرمجيات، وأي قانون يحكم العلاقة. ثم تُطلب كل حزمة خدمات على حدة بأمر عمل موجز موقّع يتضمن نطاقها ومواعيدها وقيمتها فقط، ويُدوَّن في</w:t>
      </w:r>
      <w:r>
        <w:t xml:space="preserve"> </w:t>
      </w:r>
      <w:r>
        <w:rPr>
          <w:b/>
        </w:rPr>
        <w:t xml:space="preserve">الملحق (أ)</w:t>
      </w:r>
      <w:r>
        <w:t xml:space="preserve">.</w:t>
      </w:r>
    </w:p>
    <w:p>
      <w:pPr>
        <w:pStyle w:val="BodyText"/>
      </w:pPr>
      <w:r>
        <w:t xml:space="preserve">ونودّ تأكيد التزامين منذ البداية:</w:t>
      </w:r>
    </w:p>
    <w:p>
      <w:pPr>
        <w:numPr>
          <w:ilvl w:val="0"/>
          <w:numId w:val="1002"/>
        </w:numPr>
        <w:pStyle w:val="Compact"/>
      </w:pPr>
      <w:r>
        <w:rPr>
          <w:b/>
        </w:rPr>
        <w:t xml:space="preserve">الدفع مقابل التسليم.</w:t>
      </w:r>
      <w:r>
        <w:t xml:space="preserve"> </w:t>
      </w:r>
      <w:r>
        <w:t xml:space="preserve">تُستحق 50% عند التوقيع، ولا تُستحق نسبة الـ 50% الباقية إلا عند تسليم المخرجات المتفق عليها وقبولها.</w:t>
      </w:r>
    </w:p>
    <w:p>
      <w:pPr>
        <w:numPr>
          <w:ilvl w:val="0"/>
          <w:numId w:val="1002"/>
        </w:numPr>
        <w:pStyle w:val="Compact"/>
      </w:pPr>
      <w:r>
        <w:rPr>
          <w:b/>
        </w:rPr>
        <w:t xml:space="preserve">بياناتكم تبقى ملككم.</w:t>
      </w:r>
      <w:r>
        <w:t xml:space="preserve"> </w:t>
      </w:r>
      <w:r>
        <w:t xml:space="preserve">تُصدَّر لكم بصيغة قياسية قابلة للقراءة عند الطلب وفي أي وقت، ولا تُسلَّم لأي طرف ثالث دون موافقتكم الخطية.</w:t>
      </w:r>
    </w:p>
    <w:p>
      <w:pPr>
        <w:pStyle w:val="FirstParagraph"/>
      </w:pPr>
      <w:r>
        <w:t xml:space="preserve">وقد أوردنا بيانات تسجيلنا وترخيصنا وصلاحية التوقيع لدينا كاملةً في</w:t>
      </w:r>
      <w:r>
        <w:t xml:space="preserve"> </w:t>
      </w:r>
      <w:r>
        <w:rPr>
          <w:b/>
        </w:rPr>
        <w:t xml:space="preserve">الملحق (ب)</w:t>
      </w:r>
      <w:r>
        <w:t xml:space="preserve"> </w:t>
      </w:r>
      <w:r>
        <w:t xml:space="preserve">ليتمكن فريق المشتريات لديكم من التحقق منها دون الحاجة إلى طلب إضافي.</w:t>
      </w:r>
    </w:p>
    <w:p>
      <w:pPr>
        <w:pStyle w:val="BodyText"/>
      </w:pPr>
      <w:r>
        <w:t xml:space="preserve">مع خالص التحية والتقدير،</w:t>
      </w:r>
    </w:p>
    <w:p>
      <w:pPr>
        <w:pStyle w:val="BodyText"/>
      </w:pPr>
      <w:r>
        <w:rPr>
          <w:b/>
        </w:rPr>
        <w:t xml:space="preserve">المهندس هشام</w:t>
      </w:r>
      <w:r>
        <w:t xml:space="preserve"> </w:t>
      </w:r>
      <w:r>
        <w:t xml:space="preserve">— شركة ديكسور للحلول المتكاملة الحاسوبية ذ.م.م · info@dexor.ae · الكويت</w:t>
      </w:r>
    </w:p>
    <w:p>
      <w:pPr>
        <w:pStyle w:val="Heading2"/>
      </w:pPr>
      <w:bookmarkStart w:id="24" w:name="the-parties"/>
      <w:r>
        <w:t xml:space="preserve">1. The Parties</w:t>
      </w:r>
      <w:bookmarkEnd w:id="24"/>
    </w:p>
    <w:p>
      <w:pPr>
        <w:pStyle w:val="Heading2"/>
      </w:pPr>
      <w:bookmarkStart w:id="25" w:name="أطراف-الاتفاقية"/>
      <w:r>
        <w:t xml:space="preserve">1. أطراف الاتفاقية</w:t>
      </w:r>
      <w:bookmarkEnd w:id="25"/>
    </w:p>
    <w:p>
      <w:pPr>
        <w:pStyle w:val="FirstParagraph"/>
      </w:pPr>
      <w:r>
        <w:t xml:space="preserve">This Professional Services Agreement (the “</w:t>
      </w:r>
      <w:r>
        <w:rPr>
          <w:b/>
        </w:rPr>
        <w:t xml:space="preserve">Agreement</w:t>
      </w:r>
      <w:r>
        <w:t xml:space="preserve">”) is made on the Effective Date shown on the cover page, in the State of Kuwait, between:</w:t>
      </w:r>
    </w:p>
    <w:p>
      <w:pPr>
        <w:pStyle w:val="BodyText"/>
      </w:pPr>
      <w:r>
        <w:t xml:space="preserve">أُبرمت اتفاقية الخدمات المهنية هذه («</w:t>
      </w:r>
      <w:r>
        <w:rPr>
          <w:b/>
        </w:rPr>
        <w:t xml:space="preserve">الاتفاقية</w:t>
      </w:r>
      <w:r>
        <w:t xml:space="preserve">») في تاريخ السريان المبيّن على صفحة الغلاف، في دولة الكويت، بين:</w:t>
      </w:r>
    </w:p>
    <w:p>
      <w:pPr>
        <w:pStyle w:val="BodyText"/>
      </w:pPr>
      <w:r>
        <w:t xml:space="preserve">Hereinafter referred to jointly as the “</w:t>
      </w:r>
      <w:r>
        <w:rPr>
          <w:b/>
        </w:rPr>
        <w:t xml:space="preserve">Parties</w:t>
      </w:r>
      <w:r>
        <w:t xml:space="preserve">” and individually as a “</w:t>
      </w:r>
      <w:r>
        <w:rPr>
          <w:b/>
        </w:rPr>
        <w:t xml:space="preserve">Party</w:t>
      </w:r>
      <w:r>
        <w:t xml:space="preserve">”. Each Party declares that it is duly registered and licensed, and that its signatory below holds the authority required to bind it to this Agreement.</w:t>
      </w:r>
    </w:p>
    <w:p>
      <w:pPr>
        <w:pStyle w:val="BodyText"/>
      </w:pPr>
      <w:r>
        <w:t xml:space="preserve">ويُشار إليهما مجتمعَين بـ «</w:t>
      </w:r>
      <w:r>
        <w:rPr>
          <w:b/>
        </w:rPr>
        <w:t xml:space="preserve">الطرفين</w:t>
      </w:r>
      <w:r>
        <w:t xml:space="preserve">» وإلى كل منهما منفرداً بـ «</w:t>
      </w:r>
      <w:r>
        <w:rPr>
          <w:b/>
        </w:rPr>
        <w:t xml:space="preserve">الطرف</w:t>
      </w:r>
      <w:r>
        <w:t xml:space="preserve">». ويُقرّ كل طرف بأنه مسجّل ومرخّص حسب الأصول، وبأن الموقّع عنه أدناه يملك الصلاحية اللازمة لإلزامه بهذه الاتفاقية.</w:t>
      </w:r>
    </w:p>
    <w:p>
      <w:pPr>
        <w:pStyle w:val="Heading2"/>
      </w:pPr>
      <w:bookmarkStart w:id="26" w:name="definitions-interpretation"/>
      <w:r>
        <w:t xml:space="preserve">2. Definitions &amp; Interpretation</w:t>
      </w:r>
      <w:bookmarkEnd w:id="26"/>
    </w:p>
    <w:p>
      <w:pPr>
        <w:pStyle w:val="Heading2"/>
      </w:pPr>
      <w:bookmarkStart w:id="27" w:name="التعريفات-والتفسير"/>
      <w:r>
        <w:t xml:space="preserve">2. التعريفات والتفسير</w:t>
      </w:r>
      <w:bookmarkEnd w:id="27"/>
    </w:p>
    <w:p>
      <w:pPr>
        <w:pStyle w:val="FirstParagraph"/>
      </w:pPr>
      <w:r>
        <w:t xml:space="preserve">In this Agreement the following terms carry the meanings set against them:</w:t>
      </w:r>
    </w:p>
    <w:p>
      <w:pPr>
        <w:pStyle w:val="BodyText"/>
      </w:pPr>
      <w:r>
        <w:t xml:space="preserve">يكون للعبارات التالية في هذه الاتفاقية المعاني المبيّنة قرين كل منها:</w:t>
      </w:r>
    </w:p>
    <w:tbl>
      <w:tblPr>
        <w:tblStyle w:val="Table"/>
        <w:tblW w:type="pct" w:w="0.0"/>
        <w:tblLook w:firstRow="1"/>
      </w:tblPr>
      <w:tblGrid/>
      <w:tr>
        <w:trPr>
          <w:cnfStyle w:firstRow="1"/>
        </w:trPr>
        <w:tc>
          <w:tcPr>
            <w:tcBorders>
              <w:bottom w:val="single"/>
            </w:tcBorders>
            <w:vAlign w:val="bottom"/>
          </w:tcPr>
          <w:p>
            <w:pPr>
              <w:pStyle w:val="Compact"/>
              <w:jc w:val="left"/>
            </w:pPr>
            <w:r>
              <w:t xml:space="preserve">Term</w:t>
            </w:r>
          </w:p>
        </w:tc>
        <w:tc>
          <w:tcPr>
            <w:tcBorders>
              <w:bottom w:val="single"/>
            </w:tcBorders>
            <w:vAlign w:val="bottom"/>
          </w:tcPr>
          <w:p>
            <w:pPr>
              <w:pStyle w:val="Compact"/>
              <w:jc w:val="left"/>
            </w:pPr>
            <w:r>
              <w:t xml:space="preserve">Details</w:t>
            </w:r>
          </w:p>
        </w:tc>
      </w:tr>
      <w:tr>
        <w:tc>
          <w:p>
            <w:pPr>
              <w:pStyle w:val="Compact"/>
              <w:jc w:val="left"/>
            </w:pPr>
            <w:r>
              <w:rPr>
                <w:b/>
              </w:rPr>
              <w:t xml:space="preserve">Agreement</w:t>
            </w:r>
          </w:p>
        </w:tc>
        <w:tc>
          <w:p>
            <w:pPr>
              <w:pStyle w:val="Compact"/>
              <w:jc w:val="left"/>
            </w:pPr>
            <w:r>
              <w:t xml:space="preserve">This document, its Annexes, and every Work Order and Change Request signed by both Parties under it.</w:t>
            </w:r>
          </w:p>
        </w:tc>
      </w:tr>
      <w:tr>
        <w:tc>
          <w:p>
            <w:pPr>
              <w:pStyle w:val="Compact"/>
              <w:jc w:val="left"/>
            </w:pPr>
            <w:r>
              <w:rPr>
                <w:b/>
              </w:rPr>
              <w:t xml:space="preserve">Work Order</w:t>
            </w:r>
          </w:p>
        </w:tc>
        <w:tc>
          <w:p>
            <w:pPr>
              <w:pStyle w:val="Compact"/>
              <w:jc w:val="left"/>
            </w:pPr>
            <w:r>
              <w:t xml:space="preserve">A written order signed by both Parties describing a specific package of Services, its Deliverables, its timeline and its value in Kuwaiti Dinars.</w:t>
            </w:r>
          </w:p>
        </w:tc>
      </w:tr>
      <w:tr>
        <w:tc>
          <w:p>
            <w:pPr>
              <w:pStyle w:val="Compact"/>
              <w:jc w:val="left"/>
            </w:pPr>
            <w:r>
              <w:rPr>
                <w:b/>
              </w:rPr>
              <w:t xml:space="preserve">Services</w:t>
            </w:r>
          </w:p>
        </w:tc>
        <w:tc>
          <w:p>
            <w:pPr>
              <w:pStyle w:val="Compact"/>
              <w:jc w:val="left"/>
            </w:pPr>
            <w:r>
              <w:t xml:space="preserve">The professional services described in Clause 3 and detailed in Annex A and in each Work Order.</w:t>
            </w:r>
          </w:p>
        </w:tc>
      </w:tr>
      <w:tr>
        <w:tc>
          <w:p>
            <w:pPr>
              <w:pStyle w:val="Compact"/>
              <w:jc w:val="left"/>
            </w:pPr>
            <w:r>
              <w:rPr>
                <w:b/>
              </w:rPr>
              <w:t xml:space="preserve">Deliverable</w:t>
            </w:r>
          </w:p>
        </w:tc>
        <w:tc>
          <w:p>
            <w:pPr>
              <w:pStyle w:val="Compact"/>
              <w:jc w:val="left"/>
            </w:pPr>
            <w:r>
              <w:t xml:space="preserve">Any output produced for the Client under a Work Order — a configured system, a report, a document, a migrated data set or a training session.</w:t>
            </w:r>
          </w:p>
        </w:tc>
      </w:tr>
      <w:tr>
        <w:tc>
          <w:p>
            <w:pPr>
              <w:pStyle w:val="Compact"/>
              <w:jc w:val="left"/>
            </w:pPr>
            <w:r>
              <w:rPr>
                <w:b/>
              </w:rPr>
              <w:t xml:space="preserve">Acceptance</w:t>
            </w:r>
          </w:p>
        </w:tc>
        <w:tc>
          <w:p>
            <w:pPr>
              <w:pStyle w:val="Compact"/>
              <w:jc w:val="left"/>
            </w:pPr>
            <w:r>
              <w:t xml:space="preserve">The Client’s written confirmation that a Deliverable meets its agreed criteria, or the lapse of the review period under Clause 5.</w:t>
            </w:r>
          </w:p>
        </w:tc>
      </w:tr>
      <w:tr>
        <w:tc>
          <w:p>
            <w:pPr>
              <w:pStyle w:val="Compact"/>
              <w:jc w:val="left"/>
            </w:pPr>
            <w:r>
              <w:rPr>
                <w:b/>
              </w:rPr>
              <w:t xml:space="preserve">Business Day</w:t>
            </w:r>
          </w:p>
        </w:tc>
        <w:tc>
          <w:p>
            <w:pPr>
              <w:pStyle w:val="Compact"/>
              <w:jc w:val="left"/>
            </w:pPr>
            <w:r>
              <w:t xml:space="preserve">Sunday to Thursday, excluding official public holidays in the State of Kuwait.</w:t>
            </w:r>
          </w:p>
        </w:tc>
      </w:tr>
      <w:tr>
        <w:tc>
          <w:p>
            <w:pPr>
              <w:pStyle w:val="Compact"/>
              <w:jc w:val="left"/>
            </w:pPr>
            <w:r>
              <w:rPr>
                <w:b/>
              </w:rPr>
              <w:t xml:space="preserve">Fees</w:t>
            </w:r>
          </w:p>
        </w:tc>
        <w:tc>
          <w:p>
            <w:pPr>
              <w:pStyle w:val="Compact"/>
              <w:jc w:val="left"/>
            </w:pPr>
            <w:r>
              <w:t xml:space="preserve">The amounts payable by the Client under Clause 7.</w:t>
            </w:r>
          </w:p>
        </w:tc>
      </w:tr>
      <w:tr>
        <w:tc>
          <w:p>
            <w:pPr>
              <w:pStyle w:val="Compact"/>
              <w:jc w:val="left"/>
            </w:pPr>
            <w:r>
              <w:rPr>
                <w:b/>
              </w:rPr>
              <w:t xml:space="preserve">Effective Date</w:t>
            </w:r>
          </w:p>
        </w:tc>
        <w:tc>
          <w:p>
            <w:pPr>
              <w:pStyle w:val="Compact"/>
              <w:jc w:val="left"/>
            </w:pPr>
            <w:r>
              <w:t xml:space="preserve">The date shown on the cover page of this Agreement.</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المصطلح</w:t>
            </w:r>
          </w:p>
        </w:tc>
        <w:tc>
          <w:tcPr>
            <w:tcBorders>
              <w:bottom w:val="single"/>
            </w:tcBorders>
            <w:vAlign w:val="bottom"/>
          </w:tcPr>
          <w:p>
            <w:pPr>
              <w:pStyle w:val="Compact"/>
              <w:jc w:val="left"/>
            </w:pPr>
            <w:r>
              <w:t xml:space="preserve">التفاصيل</w:t>
            </w:r>
          </w:p>
        </w:tc>
      </w:tr>
      <w:tr>
        <w:tc>
          <w:p>
            <w:pPr>
              <w:pStyle w:val="Compact"/>
              <w:jc w:val="left"/>
            </w:pPr>
            <w:r>
              <w:rPr>
                <w:b/>
              </w:rPr>
              <w:t xml:space="preserve">الاتفاقية</w:t>
            </w:r>
          </w:p>
        </w:tc>
        <w:tc>
          <w:p>
            <w:pPr>
              <w:pStyle w:val="Compact"/>
              <w:jc w:val="left"/>
            </w:pPr>
            <w:r>
              <w:t xml:space="preserve">هذا المستند وملاحقه وكل أمر عمل أو طلب تغيير موقّع من الطرفين بموجبه.</w:t>
            </w:r>
          </w:p>
        </w:tc>
      </w:tr>
      <w:tr>
        <w:tc>
          <w:p>
            <w:pPr>
              <w:pStyle w:val="Compact"/>
              <w:jc w:val="left"/>
            </w:pPr>
            <w:r>
              <w:rPr>
                <w:b/>
              </w:rPr>
              <w:t xml:space="preserve">أمر العمل</w:t>
            </w:r>
          </w:p>
        </w:tc>
        <w:tc>
          <w:p>
            <w:pPr>
              <w:pStyle w:val="Compact"/>
              <w:jc w:val="left"/>
            </w:pPr>
            <w:r>
              <w:t xml:space="preserve">أمر مكتوب موقّع من الطرفين يحدد حزمة معيّنة من الخدمات ومخرجاتها وجدولها الزمني وقيمتها بالدينار الكويتي.</w:t>
            </w:r>
          </w:p>
        </w:tc>
      </w:tr>
      <w:tr>
        <w:tc>
          <w:p>
            <w:pPr>
              <w:pStyle w:val="Compact"/>
              <w:jc w:val="left"/>
            </w:pPr>
            <w:r>
              <w:rPr>
                <w:b/>
              </w:rPr>
              <w:t xml:space="preserve">الخدمات</w:t>
            </w:r>
          </w:p>
        </w:tc>
        <w:tc>
          <w:p>
            <w:pPr>
              <w:pStyle w:val="Compact"/>
              <w:jc w:val="left"/>
            </w:pPr>
            <w:r>
              <w:t xml:space="preserve">الخدمات المهنية الموضحة في البند (3) والمفصّلة في الملحق (أ) وفي كل أمر عمل.</w:t>
            </w:r>
          </w:p>
        </w:tc>
      </w:tr>
      <w:tr>
        <w:tc>
          <w:p>
            <w:pPr>
              <w:pStyle w:val="Compact"/>
              <w:jc w:val="left"/>
            </w:pPr>
            <w:r>
              <w:rPr>
                <w:b/>
              </w:rPr>
              <w:t xml:space="preserve">المُخرَج</w:t>
            </w:r>
          </w:p>
        </w:tc>
        <w:tc>
          <w:p>
            <w:pPr>
              <w:pStyle w:val="Compact"/>
              <w:jc w:val="left"/>
            </w:pPr>
            <w:r>
              <w:t xml:space="preserve">أي ناتج يُنتَج للعميل بموجب أمر عمل — نظام مُهيّأ أو تقرير أو مستند أو مجموعة بيانات مُرحَّلة أو جلسة تدريب.</w:t>
            </w:r>
          </w:p>
        </w:tc>
      </w:tr>
      <w:tr>
        <w:tc>
          <w:p>
            <w:pPr>
              <w:pStyle w:val="Compact"/>
              <w:jc w:val="left"/>
            </w:pPr>
            <w:r>
              <w:rPr>
                <w:b/>
              </w:rPr>
              <w:t xml:space="preserve">القبول</w:t>
            </w:r>
          </w:p>
        </w:tc>
        <w:tc>
          <w:p>
            <w:pPr>
              <w:pStyle w:val="Compact"/>
              <w:jc w:val="left"/>
            </w:pPr>
            <w:r>
              <w:t xml:space="preserve">إقرار العميل الخطي بأن المُخرَج مطابق للمعايير المتفق عليها، أو انقضاء مدة المراجعة المنصوص عليها في البند (5).</w:t>
            </w:r>
          </w:p>
        </w:tc>
      </w:tr>
      <w:tr>
        <w:tc>
          <w:p>
            <w:pPr>
              <w:pStyle w:val="Compact"/>
              <w:jc w:val="left"/>
            </w:pPr>
            <w:r>
              <w:rPr>
                <w:b/>
              </w:rPr>
              <w:t xml:space="preserve">يوم العمل</w:t>
            </w:r>
          </w:p>
        </w:tc>
        <w:tc>
          <w:p>
            <w:pPr>
              <w:pStyle w:val="Compact"/>
              <w:jc w:val="left"/>
            </w:pPr>
            <w:r>
              <w:t xml:space="preserve">من الأحد إلى الخميس، باستثناء العطل الرسمية في دولة الكويت.</w:t>
            </w:r>
          </w:p>
        </w:tc>
      </w:tr>
      <w:tr>
        <w:tc>
          <w:p>
            <w:pPr>
              <w:pStyle w:val="Compact"/>
              <w:jc w:val="left"/>
            </w:pPr>
            <w:r>
              <w:rPr>
                <w:b/>
              </w:rPr>
              <w:t xml:space="preserve">الأتعاب</w:t>
            </w:r>
          </w:p>
        </w:tc>
        <w:tc>
          <w:p>
            <w:pPr>
              <w:pStyle w:val="Compact"/>
              <w:jc w:val="left"/>
            </w:pPr>
            <w:r>
              <w:t xml:space="preserve">المبالغ المستحقة على العميل بموجب البند (7).</w:t>
            </w:r>
          </w:p>
        </w:tc>
      </w:tr>
      <w:tr>
        <w:tc>
          <w:p>
            <w:pPr>
              <w:pStyle w:val="Compact"/>
              <w:jc w:val="left"/>
            </w:pPr>
            <w:r>
              <w:rPr>
                <w:b/>
              </w:rPr>
              <w:t xml:space="preserve">تاريخ السريان</w:t>
            </w:r>
          </w:p>
        </w:tc>
        <w:tc>
          <w:p>
            <w:pPr>
              <w:pStyle w:val="Compact"/>
              <w:jc w:val="left"/>
            </w:pPr>
            <w:r>
              <w:t xml:space="preserve">التاريخ المبيّن على صفحة غلاف هذه الاتفاقية.</w:t>
            </w:r>
          </w:p>
        </w:tc>
      </w:tr>
    </w:tbl>
    <w:p>
      <w:pPr>
        <w:pStyle w:val="BodyText"/>
      </w:pPr>
      <w:r>
        <w:t xml:space="preserve">Headings are for convenience only. The Annexes form an integral part of this Agreement. “Written” and “in writing” include email sent to the notice addresses in Clause 13.</w:t>
      </w:r>
    </w:p>
    <w:p>
      <w:pPr>
        <w:pStyle w:val="BodyText"/>
      </w:pPr>
      <w:r>
        <w:t xml:space="preserve">العناوين وُضعت للتيسير فقط، وتُعدّ الملاحق جزءاً لا يتجزأ من هذه الاتفاقية. ويشمل تعبيرا «خطي» و«كتابةً» البريد الإلكتروني المُرسل إلى عناوين المراسلات المحددة في البند (13).</w:t>
      </w:r>
    </w:p>
    <w:p>
      <w:pPr>
        <w:pStyle w:val="Heading2"/>
      </w:pPr>
      <w:bookmarkStart w:id="28" w:name="purpose-scope-of-services"/>
      <w:r>
        <w:t xml:space="preserve">3. Purpose &amp; Scope of Services</w:t>
      </w:r>
      <w:bookmarkEnd w:id="28"/>
    </w:p>
    <w:p>
      <w:pPr>
        <w:pStyle w:val="Heading2"/>
      </w:pPr>
      <w:bookmarkStart w:id="29" w:name="غرض-الاتفاقية-ونطاق-الخدمات"/>
      <w:r>
        <w:t xml:space="preserve">3. غرض الاتفاقية ونطاق الخدمات</w:t>
      </w:r>
      <w:bookmarkEnd w:id="29"/>
    </w:p>
    <w:p>
      <w:pPr>
        <w:pStyle w:val="FirstParagraph"/>
      </w:pPr>
      <w:r>
        <w:t xml:space="preserve">The purpose of this Agreement is to set the legal and commercial framework under which the Service Provider delivers professional information-technology and business-systems services to the Client, under its licensed activity</w:t>
      </w:r>
      <w:r>
        <w:t xml:space="preserve"> </w:t>
      </w:r>
      <w:r>
        <w:rPr>
          <w:b/>
        </w:rPr>
        <w:t xml:space="preserve">620213 — Integrated Computer Solutions</w:t>
      </w:r>
      <w:r>
        <w:t xml:space="preserve">.</w:t>
      </w:r>
    </w:p>
    <w:p>
      <w:pPr>
        <w:pStyle w:val="BodyText"/>
      </w:pPr>
      <w:r>
        <w:t xml:space="preserve">غرض هذه الاتفاقية هو وضع الإطار القانوني والتجاري الذي يقدّم بموجبه مزود الخدمة للعميل خدمات تقنية المعلومات وأنظمة الأعمال المهنية، ضمن نشاطه المرخّص</w:t>
      </w:r>
      <w:r>
        <w:t xml:space="preserve"> </w:t>
      </w:r>
      <w:r>
        <w:rPr>
          <w:b/>
        </w:rPr>
        <w:t xml:space="preserve">620213 — حلول متكاملة حاسوبية</w:t>
      </w:r>
      <w:r>
        <w:t xml:space="preserve">.</w:t>
      </w:r>
    </w:p>
    <w:p>
      <w:pPr>
        <w:pStyle w:val="Heading3"/>
      </w:pPr>
      <w:bookmarkStart w:id="30" w:name="categories-of-services"/>
      <w:r>
        <w:t xml:space="preserve">Categories of Services</w:t>
      </w:r>
      <w:bookmarkEnd w:id="30"/>
    </w:p>
    <w:p>
      <w:pPr>
        <w:pStyle w:val="Heading3"/>
      </w:pPr>
      <w:bookmarkStart w:id="31" w:name="فئات-الخدمات"/>
      <w:r>
        <w:t xml:space="preserve">فئات الخدمات</w:t>
      </w:r>
      <w:bookmarkEnd w:id="31"/>
    </w:p>
    <w:p>
      <w:pPr>
        <w:numPr>
          <w:ilvl w:val="0"/>
          <w:numId w:val="1003"/>
        </w:numPr>
        <w:pStyle w:val="Compact"/>
      </w:pPr>
      <w:r>
        <w:t xml:space="preserve">Business process review, requirement gathering and gap analysis</w:t>
      </w:r>
    </w:p>
    <w:p>
      <w:pPr>
        <w:numPr>
          <w:ilvl w:val="0"/>
          <w:numId w:val="1003"/>
        </w:numPr>
        <w:pStyle w:val="Compact"/>
      </w:pPr>
      <w:r>
        <w:t xml:space="preserve">Design, configuration and implementation of business software and ERP systems</w:t>
      </w:r>
    </w:p>
    <w:p>
      <w:pPr>
        <w:numPr>
          <w:ilvl w:val="0"/>
          <w:numId w:val="1003"/>
        </w:numPr>
        <w:pStyle w:val="Compact"/>
      </w:pPr>
      <w:r>
        <w:t xml:space="preserve">Custom development, extensions and tailored reports and dashboards</w:t>
      </w:r>
    </w:p>
    <w:p>
      <w:pPr>
        <w:numPr>
          <w:ilvl w:val="0"/>
          <w:numId w:val="1003"/>
        </w:numPr>
        <w:pStyle w:val="Compact"/>
      </w:pPr>
      <w:r>
        <w:t xml:space="preserve">Data extraction, cleansing and migration from the Client’s existing records</w:t>
      </w:r>
    </w:p>
    <w:p>
      <w:pPr>
        <w:numPr>
          <w:ilvl w:val="0"/>
          <w:numId w:val="1003"/>
        </w:numPr>
        <w:pStyle w:val="Compact"/>
      </w:pPr>
      <w:r>
        <w:t xml:space="preserve">Integration with third-party systems and services approved by the Client</w:t>
      </w:r>
    </w:p>
    <w:p>
      <w:pPr>
        <w:numPr>
          <w:ilvl w:val="0"/>
          <w:numId w:val="1003"/>
        </w:numPr>
        <w:pStyle w:val="Compact"/>
      </w:pPr>
      <w:r>
        <w:t xml:space="preserve">User training, documentation and change-adoption support</w:t>
      </w:r>
    </w:p>
    <w:p>
      <w:pPr>
        <w:numPr>
          <w:ilvl w:val="0"/>
          <w:numId w:val="1003"/>
        </w:numPr>
        <w:pStyle w:val="Compact"/>
      </w:pPr>
      <w:r>
        <w:t xml:space="preserve">Go-live assistance and post-delivery technical support</w:t>
      </w:r>
    </w:p>
    <w:p>
      <w:pPr>
        <w:numPr>
          <w:ilvl w:val="0"/>
          <w:numId w:val="1004"/>
        </w:numPr>
        <w:pStyle w:val="Compact"/>
      </w:pPr>
      <w:r>
        <w:t xml:space="preserve">مراجعة عمليات العمل وجمع المتطلبات وتحليل الفجوات</w:t>
      </w:r>
    </w:p>
    <w:p>
      <w:pPr>
        <w:numPr>
          <w:ilvl w:val="0"/>
          <w:numId w:val="1004"/>
        </w:numPr>
        <w:pStyle w:val="Compact"/>
      </w:pPr>
      <w:r>
        <w:t xml:space="preserve">تصميم وتهيئة وتنفيذ برمجيات الأعمال وأنظمة تخطيط موارد المؤسسات</w:t>
      </w:r>
    </w:p>
    <w:p>
      <w:pPr>
        <w:numPr>
          <w:ilvl w:val="0"/>
          <w:numId w:val="1004"/>
        </w:numPr>
        <w:pStyle w:val="Compact"/>
      </w:pPr>
      <w:r>
        <w:t xml:space="preserve">التطوير المخصّص والإضافات البرمجية والتقارير ولوحات المتابعة المصمّمة حسب الطلب</w:t>
      </w:r>
    </w:p>
    <w:p>
      <w:pPr>
        <w:numPr>
          <w:ilvl w:val="0"/>
          <w:numId w:val="1004"/>
        </w:numPr>
        <w:pStyle w:val="Compact"/>
      </w:pPr>
      <w:r>
        <w:t xml:space="preserve">استخراج البيانات وتنقيتها وترحيلها من سجلات العميل القائمة</w:t>
      </w:r>
    </w:p>
    <w:p>
      <w:pPr>
        <w:numPr>
          <w:ilvl w:val="0"/>
          <w:numId w:val="1004"/>
        </w:numPr>
        <w:pStyle w:val="Compact"/>
      </w:pPr>
      <w:r>
        <w:t xml:space="preserve">الربط مع الأنظمة والخدمات الخارجية المعتمدة من العميل</w:t>
      </w:r>
    </w:p>
    <w:p>
      <w:pPr>
        <w:numPr>
          <w:ilvl w:val="0"/>
          <w:numId w:val="1004"/>
        </w:numPr>
        <w:pStyle w:val="Compact"/>
      </w:pPr>
      <w:r>
        <w:t xml:space="preserve">تدريب المستخدمين وإعداد الوثائق ودعم تبنّي التغيير</w:t>
      </w:r>
    </w:p>
    <w:p>
      <w:pPr>
        <w:numPr>
          <w:ilvl w:val="0"/>
          <w:numId w:val="1004"/>
        </w:numPr>
        <w:pStyle w:val="Compact"/>
      </w:pPr>
      <w:r>
        <w:t xml:space="preserve">دعم الإطلاق الفعلي والدعم الفني بعد التسليم</w:t>
      </w:r>
    </w:p>
    <w:p>
      <w:pPr>
        <w:pStyle w:val="FirstParagraph"/>
      </w:pPr>
      <w:r>
        <w:t xml:space="preserve">The Services actually commissioned by the Client, their Deliverables, their duration and their value are recorded in</w:t>
      </w:r>
      <w:r>
        <w:t xml:space="preserve"> </w:t>
      </w:r>
      <w:r>
        <w:rPr>
          <w:b/>
        </w:rPr>
        <w:t xml:space="preserve">Annex A (Scope Schedule)</w:t>
      </w:r>
      <w:r>
        <w:t xml:space="preserve"> </w:t>
      </w:r>
      <w:r>
        <w:t xml:space="preserve">and in each signed Work Order. Nothing outside those documents forms part of the Services until it is agreed in writing under Clause 4.</w:t>
      </w:r>
    </w:p>
    <w:p>
      <w:pPr>
        <w:pStyle w:val="BodyText"/>
      </w:pPr>
      <w:r>
        <w:t xml:space="preserve">تُدوَّن الخدمات التي يطلبها العميل فعلياً ومخرجاتها ومدتها وقيمتها في</w:t>
      </w:r>
      <w:r>
        <w:t xml:space="preserve"> </w:t>
      </w:r>
      <w:r>
        <w:rPr>
          <w:b/>
        </w:rPr>
        <w:t xml:space="preserve">الملحق (أ) — جدول النطاق</w:t>
      </w:r>
      <w:r>
        <w:t xml:space="preserve"> </w:t>
      </w:r>
      <w:r>
        <w:t xml:space="preserve">وفي كل أمر عمل موقّع. ولا يُعدّ أي عمل خارج تلك المستندات جزءاً من الخدمات ما لم يُتفق عليه كتابةً وفقاً للبند (4).</w:t>
      </w:r>
    </w:p>
    <w:p>
      <w:pPr>
        <w:pStyle w:val="Heading2"/>
      </w:pPr>
      <w:bookmarkStart w:id="32" w:name="work-orders-change-control"/>
      <w:r>
        <w:t xml:space="preserve">4. Work Orders &amp; Change Control</w:t>
      </w:r>
      <w:bookmarkEnd w:id="32"/>
    </w:p>
    <w:p>
      <w:pPr>
        <w:pStyle w:val="Heading2"/>
      </w:pPr>
      <w:bookmarkStart w:id="33" w:name="أوامر-العمل-وإدارة-التغيير"/>
      <w:r>
        <w:t xml:space="preserve">4. أوامر العمل وإدارة التغيير</w:t>
      </w:r>
      <w:bookmarkEnd w:id="33"/>
    </w:p>
    <w:p>
      <w:pPr>
        <w:pStyle w:val="Heading3"/>
      </w:pPr>
      <w:bookmarkStart w:id="34" w:name="how-work-is-authorised"/>
      <w:r>
        <w:t xml:space="preserve">How work is authorised</w:t>
      </w:r>
      <w:bookmarkEnd w:id="34"/>
    </w:p>
    <w:p>
      <w:pPr>
        <w:pStyle w:val="Heading3"/>
      </w:pPr>
      <w:bookmarkStart w:id="35" w:name="كيفية-اعتماد-الأعمال"/>
      <w:r>
        <w:t xml:space="preserve">كيفية اعتماد الأعمال</w:t>
      </w:r>
      <w:bookmarkEnd w:id="35"/>
    </w:p>
    <w:p>
      <w:pPr>
        <w:pStyle w:val="FirstParagraph"/>
      </w:pPr>
      <w:r>
        <w:t xml:space="preserve">Each package of Services is authorised by a Work Order that references this Agreement and states its scope, Deliverables, assumptions, timeline, value and payment schedule. A Work Order takes effect only when signed by both Parties. Where a Work Order conflicts with this Agreement, the Work Order prevails for that package of Services only; this Agreement governs in every other respect.</w:t>
      </w:r>
    </w:p>
    <w:p>
      <w:pPr>
        <w:pStyle w:val="BodyText"/>
      </w:pPr>
      <w:r>
        <w:t xml:space="preserve">تُعتمد كل حزمة من الخدمات بموجب أمر عمل يحيل إلى هذه الاتفاقية ويبيّن نطاقه ومخرجاته وافتراضاته وجدوله الزمني وقيمته وجدول الدفعات الخاص به. ولا يسري أمر العمل إلا بعد توقيعه من الطرفين. وعند تعارض أمر العمل مع هذه الاتفاقية، يُعتد بأمر العمل في خصوص تلك الحزمة من الخدمات وحدها، وتظل الاتفاقية حاكمة فيما عدا ذلك.</w:t>
      </w:r>
    </w:p>
    <w:p>
      <w:pPr>
        <w:pStyle w:val="Heading3"/>
      </w:pPr>
      <w:bookmarkStart w:id="36" w:name="change-control"/>
      <w:r>
        <w:t xml:space="preserve">Change control</w:t>
      </w:r>
      <w:bookmarkEnd w:id="36"/>
    </w:p>
    <w:p>
      <w:pPr>
        <w:pStyle w:val="Heading3"/>
      </w:pPr>
      <w:bookmarkStart w:id="37" w:name="إدارة-التغيير"/>
      <w:r>
        <w:t xml:space="preserve">إدارة التغيير</w:t>
      </w:r>
      <w:bookmarkEnd w:id="37"/>
    </w:p>
    <w:p>
      <w:pPr>
        <w:pStyle w:val="FirstParagraph"/>
      </w:pPr>
      <w:r>
        <w:t xml:space="preserve">Either Party may request a change to an agreed scope. The Service Provider issues a written Change Request describing the change and its effect on the Fees and the timeline. The change takes effect only once the Change Request is signed by both Parties; until then the team continues on the agreed baseline.</w:t>
      </w:r>
    </w:p>
    <w:p>
      <w:pPr>
        <w:pStyle w:val="BodyText"/>
      </w:pPr>
      <w:r>
        <w:t xml:space="preserve">يجوز لأي من الطرفين طلب تعديل نطاق متفق عليه. ويصدر مزود الخدمة طلب تغيير خطياً يوضح التعديل وأثره على الأتعاب والجدول الزمني. ولا يسري التغيير إلا بعد توقيع طلب التغيير من الطرفين، ويستمر فريق العمل حتى ذلك الحين على النطاق المعتمد.</w:t>
      </w:r>
    </w:p>
    <w:p>
      <w:pPr>
        <w:pStyle w:val="BodyText"/>
      </w:pPr>
      <w:r>
        <w:rPr>
          <w:b/>
        </w:rPr>
        <w:t xml:space="preserve">Important —</w:t>
      </w:r>
      <w:r>
        <w:t xml:space="preserve"> </w:t>
      </w:r>
      <w:r>
        <w:t xml:space="preserve">Verbal instructions do not change scope, price or dates. Work performed on a verbal request is carried out at the Client’s risk and is</w:t>
      </w:r>
      <w:r>
        <w:t xml:space="preserve"> </w:t>
      </w:r>
      <w:r>
        <w:rPr>
          <w:b/>
        </w:rPr>
        <w:t xml:space="preserve">chargeable at the agreed hourly rate</w:t>
      </w:r>
      <w:r>
        <w:t xml:space="preserve"> </w:t>
      </w:r>
      <w:r>
        <w:t xml:space="preserve">stated in the applicable Work Order.</w:t>
      </w:r>
    </w:p>
    <w:p>
      <w:pPr>
        <w:pStyle w:val="BodyText"/>
      </w:pPr>
      <w:r>
        <w:rPr>
          <w:b/>
        </w:rPr>
        <w:t xml:space="preserve">هام —</w:t>
      </w:r>
      <w:r>
        <w:t xml:space="preserve"> </w:t>
      </w:r>
      <w:r>
        <w:t xml:space="preserve">لا تُعدّ التعليمات الشفهية تعديلاً للنطاق أو السعر أو المواعيد. وتُنفَّذ الأعمال المطلوبة شفهياً على مسؤولية العميل و</w:t>
      </w:r>
      <w:r>
        <w:rPr>
          <w:b/>
        </w:rPr>
        <w:t xml:space="preserve">تُحتسب بالأجر الساعي المتفق عليه</w:t>
      </w:r>
      <w:r>
        <w:t xml:space="preserve"> </w:t>
      </w:r>
      <w:r>
        <w:t xml:space="preserve">المبيّن في أمر العمل ذي الصلة.</w:t>
      </w:r>
    </w:p>
    <w:p>
      <w:pPr>
        <w:pStyle w:val="Heading2"/>
      </w:pPr>
      <w:bookmarkStart w:id="38" w:name="deliverables-testing-acceptance"/>
      <w:r>
        <w:t xml:space="preserve">5. Deliverables, Testing &amp; Acceptance</w:t>
      </w:r>
      <w:bookmarkEnd w:id="38"/>
    </w:p>
    <w:p>
      <w:pPr>
        <w:pStyle w:val="Heading2"/>
      </w:pPr>
      <w:bookmarkStart w:id="39" w:name="المخرجات-والاختبار-والقبول"/>
      <w:r>
        <w:t xml:space="preserve">5. المخرجات والاختبار والقبول</w:t>
      </w:r>
      <w:bookmarkEnd w:id="39"/>
    </w:p>
    <w:p>
      <w:pPr>
        <w:pStyle w:val="FirstParagraph"/>
      </w:pPr>
      <w:r>
        <w:t xml:space="preserve">The Service Provider submits each Deliverable in writing, together with the acceptance criteria agreed for it in the Work Order.</w:t>
      </w:r>
    </w:p>
    <w:p>
      <w:pPr>
        <w:pStyle w:val="BodyText"/>
      </w:pPr>
      <w:r>
        <w:t xml:space="preserve">يقدّم مزود الخدمة كل مُخرَج كتابةً مرفقاً بمعايير القبول المتفق عليها بشأنه في أمر العمل.</w:t>
      </w:r>
    </w:p>
    <w:p>
      <w:pPr>
        <w:numPr>
          <w:ilvl w:val="0"/>
          <w:numId w:val="1005"/>
        </w:numPr>
        <w:pStyle w:val="Compact"/>
      </w:pPr>
      <w:r>
        <w:t xml:space="preserve">The Client reviews the Deliverable and responds within</w:t>
      </w:r>
      <w:r>
        <w:t xml:space="preserve"> </w:t>
      </w:r>
      <w:r>
        <w:rPr>
          <w:b/>
        </w:rPr>
        <w:t xml:space="preserve">five (5) Business Days</w:t>
      </w:r>
      <w:r>
        <w:t xml:space="preserve"> </w:t>
      </w:r>
      <w:r>
        <w:t xml:space="preserve">of submission, either accepting it or listing the defects in writing.</w:t>
      </w:r>
    </w:p>
    <w:p>
      <w:pPr>
        <w:numPr>
          <w:ilvl w:val="0"/>
          <w:numId w:val="1005"/>
        </w:numPr>
        <w:pStyle w:val="Compact"/>
      </w:pPr>
      <w:r>
        <w:t xml:space="preserve">The Service Provider corrects notified defects at no additional cost and resubmits the Deliverable; a further review period of five (5) Business Days then applies.</w:t>
      </w:r>
    </w:p>
    <w:p>
      <w:pPr>
        <w:numPr>
          <w:ilvl w:val="0"/>
          <w:numId w:val="1005"/>
        </w:numPr>
        <w:pStyle w:val="Compact"/>
      </w:pPr>
      <w:r>
        <w:t xml:space="preserve">A Deliverable is deemed accepted if the Client does not respond within the review period, or if the Client puts it into live operational use.</w:t>
      </w:r>
    </w:p>
    <w:p>
      <w:pPr>
        <w:numPr>
          <w:ilvl w:val="0"/>
          <w:numId w:val="1005"/>
        </w:numPr>
        <w:pStyle w:val="Compact"/>
      </w:pPr>
      <w:r>
        <w:t xml:space="preserve">Acceptance is not withheld for cosmetic observations or for items that fall outside the agreed acceptance criteria; those are handled as a Change Request under Clause 4.</w:t>
      </w:r>
    </w:p>
    <w:p>
      <w:pPr>
        <w:numPr>
          <w:ilvl w:val="0"/>
          <w:numId w:val="1006"/>
        </w:numPr>
        <w:pStyle w:val="Compact"/>
      </w:pPr>
      <w:r>
        <w:t xml:space="preserve">يراجع العميل المُخرَج ويردّ خلال</w:t>
      </w:r>
      <w:r>
        <w:t xml:space="preserve"> </w:t>
      </w:r>
      <w:r>
        <w:rPr>
          <w:b/>
        </w:rPr>
        <w:t xml:space="preserve">خمسة (5) أيام عمل</w:t>
      </w:r>
      <w:r>
        <w:t xml:space="preserve"> </w:t>
      </w:r>
      <w:r>
        <w:t xml:space="preserve">من تاريخ التقديم، إما بقبوله أو ببيان أوجه القصور كتابةً.</w:t>
      </w:r>
    </w:p>
    <w:p>
      <w:pPr>
        <w:numPr>
          <w:ilvl w:val="0"/>
          <w:numId w:val="1006"/>
        </w:numPr>
        <w:pStyle w:val="Compact"/>
      </w:pPr>
      <w:r>
        <w:t xml:space="preserve">يصحّح مزود الخدمة أوجه القصور المُبلّغ عنها دون تكلفة إضافية ويعيد تقديم المُخرَج، وتسري عندئذٍ مدة مراجعة أخرى مدتها خمسة (5) أيام عمل.</w:t>
      </w:r>
    </w:p>
    <w:p>
      <w:pPr>
        <w:numPr>
          <w:ilvl w:val="0"/>
          <w:numId w:val="1006"/>
        </w:numPr>
        <w:pStyle w:val="Compact"/>
      </w:pPr>
      <w:r>
        <w:t xml:space="preserve">يُعدّ المُخرَج مقبولاً إذا لم يردّ العميل خلال مدة المراجعة، أو إذا وضعه العميل قيد التشغيل الفعلي.</w:t>
      </w:r>
    </w:p>
    <w:p>
      <w:pPr>
        <w:numPr>
          <w:ilvl w:val="0"/>
          <w:numId w:val="1006"/>
        </w:numPr>
        <w:pStyle w:val="Compact"/>
      </w:pPr>
      <w:r>
        <w:t xml:space="preserve">لا يُحجب القبول بسبب ملاحظات شكلية أو بنود خارجة عن معايير القبول المتفق عليها، وتُعالَج تلك البنود بطلب تغيير وفقاً للبند (4).</w:t>
      </w:r>
    </w:p>
    <w:p>
      <w:pPr>
        <w:pStyle w:val="FirstParagraph"/>
      </w:pPr>
      <w:r>
        <w:t xml:space="preserve">Acceptance of a Deliverable releases the payment milestone attached to it under Clause 7 and starts the warranty period under Clause 10.</w:t>
      </w:r>
    </w:p>
    <w:p>
      <w:pPr>
        <w:pStyle w:val="BodyText"/>
      </w:pPr>
      <w:r>
        <w:t xml:space="preserve">يترتب على قبول المُخرَج استحقاق الدفعة المرتبطة به وفقاً للبند (7)، وبدء سريان مدة الضمان وفقاً للبند (10).</w:t>
      </w:r>
    </w:p>
    <w:p>
      <w:pPr>
        <w:pStyle w:val="Heading2"/>
      </w:pPr>
      <w:bookmarkStart w:id="40" w:name="governance-timeline-client-obligations"/>
      <w:r>
        <w:t xml:space="preserve">6. Governance, Timeline &amp; Client Obligations</w:t>
      </w:r>
      <w:bookmarkEnd w:id="40"/>
    </w:p>
    <w:p>
      <w:pPr>
        <w:pStyle w:val="Heading2"/>
      </w:pPr>
      <w:bookmarkStart w:id="41" w:name="X90db644aa534d682dfd6964e7036adc3f226092"/>
      <w:r>
        <w:t xml:space="preserve">6. إدارة المشروع والجدول الزمني والتزامات العميل</w:t>
      </w:r>
      <w:bookmarkEnd w:id="41"/>
    </w:p>
    <w:p>
      <w:pPr>
        <w:pStyle w:val="FirstParagraph"/>
      </w:pPr>
      <w:r>
        <w:t xml:space="preserve">Each Party appoints a named project manager who is its single point of contact and decision. Progress is reviewed in a documented meeting at least once every two weeks, and every decision affecting scope, cost or dates is confirmed in writing.</w:t>
      </w:r>
    </w:p>
    <w:p>
      <w:pPr>
        <w:pStyle w:val="BodyText"/>
      </w:pPr>
      <w:r>
        <w:t xml:space="preserve">يعيّن كل طرف مدير مشروع مُسمّى يكون نقطة الاتصال والقرار الوحيدة لديه. وتُراجَع حالة العمل في اجتماع موثّق مرة كل أسبوعين على الأقل، ويُؤكَّد كتابةً كل قرار يؤثر على النطاق أو التكلفة أو المواعيد.</w:t>
      </w:r>
    </w:p>
    <w:p>
      <w:pPr>
        <w:pStyle w:val="Heading3"/>
      </w:pPr>
      <w:bookmarkStart w:id="42" w:name="client-obligations"/>
      <w:r>
        <w:t xml:space="preserve">Client obligations</w:t>
      </w:r>
      <w:bookmarkEnd w:id="42"/>
    </w:p>
    <w:p>
      <w:pPr>
        <w:pStyle w:val="Heading3"/>
      </w:pPr>
      <w:bookmarkStart w:id="43" w:name="التزامات-العميل"/>
      <w:r>
        <w:t xml:space="preserve">التزامات العميل</w:t>
      </w:r>
      <w:bookmarkEnd w:id="43"/>
    </w:p>
    <w:p>
      <w:pPr>
        <w:numPr>
          <w:ilvl w:val="0"/>
          <w:numId w:val="1007"/>
        </w:numPr>
        <w:pStyle w:val="Compact"/>
      </w:pPr>
      <w:r>
        <w:t xml:space="preserve">Appoint a project owner empowered to take decisions and approve Deliverables.</w:t>
      </w:r>
    </w:p>
    <w:p>
      <w:pPr>
        <w:numPr>
          <w:ilvl w:val="0"/>
          <w:numId w:val="1007"/>
        </w:numPr>
        <w:pStyle w:val="Compact"/>
      </w:pPr>
      <w:r>
        <w:t xml:space="preserve">Provide complete and accurate data in the agreed format and within the agreed dates.</w:t>
      </w:r>
    </w:p>
    <w:p>
      <w:pPr>
        <w:numPr>
          <w:ilvl w:val="0"/>
          <w:numId w:val="1007"/>
        </w:numPr>
        <w:pStyle w:val="Compact"/>
      </w:pPr>
      <w:r>
        <w:t xml:space="preserve">Give timely access to the staff, premises, systems and credentials the Services require.</w:t>
      </w:r>
    </w:p>
    <w:p>
      <w:pPr>
        <w:numPr>
          <w:ilvl w:val="0"/>
          <w:numId w:val="1007"/>
        </w:numPr>
        <w:pStyle w:val="Compact"/>
      </w:pPr>
      <w:r>
        <w:t xml:space="preserve">Nominate testers and complete user acceptance testing within the agreed windows.</w:t>
      </w:r>
    </w:p>
    <w:p>
      <w:pPr>
        <w:numPr>
          <w:ilvl w:val="0"/>
          <w:numId w:val="1007"/>
        </w:numPr>
        <w:pStyle w:val="Compact"/>
      </w:pPr>
      <w:r>
        <w:t xml:space="preserve">Ensure the nominated users attend the scheduled training sessions.</w:t>
      </w:r>
    </w:p>
    <w:p>
      <w:pPr>
        <w:numPr>
          <w:ilvl w:val="0"/>
          <w:numId w:val="1007"/>
        </w:numPr>
        <w:pStyle w:val="Compact"/>
      </w:pPr>
      <w:r>
        <w:t xml:space="preserve">Obtain and pay for any third-party licence, subscription, hosting or hardware required.</w:t>
      </w:r>
    </w:p>
    <w:p>
      <w:pPr>
        <w:numPr>
          <w:ilvl w:val="0"/>
          <w:numId w:val="1007"/>
        </w:numPr>
        <w:pStyle w:val="Compact"/>
      </w:pPr>
      <w:r>
        <w:t xml:space="preserve">Answer written queries within</w:t>
      </w:r>
      <w:r>
        <w:t xml:space="preserve"> </w:t>
      </w:r>
      <w:r>
        <w:rPr>
          <w:b/>
        </w:rPr>
        <w:t xml:space="preserve">three (3) Business Days</w:t>
      </w:r>
      <w:r>
        <w:t xml:space="preserve">.</w:t>
      </w:r>
    </w:p>
    <w:p>
      <w:pPr>
        <w:numPr>
          <w:ilvl w:val="0"/>
          <w:numId w:val="1008"/>
        </w:numPr>
        <w:pStyle w:val="Compact"/>
      </w:pPr>
      <w:r>
        <w:t xml:space="preserve">تعيين مالك مشروع مخوّل باتخاذ القرارات واعتماد المخرجات.</w:t>
      </w:r>
    </w:p>
    <w:p>
      <w:pPr>
        <w:numPr>
          <w:ilvl w:val="0"/>
          <w:numId w:val="1008"/>
        </w:numPr>
        <w:pStyle w:val="Compact"/>
      </w:pPr>
      <w:r>
        <w:t xml:space="preserve">تزويد مزود الخدمة ببيانات كاملة وصحيحة بالصيغة والمواعيد المتفق عليها.</w:t>
      </w:r>
    </w:p>
    <w:p>
      <w:pPr>
        <w:numPr>
          <w:ilvl w:val="0"/>
          <w:numId w:val="1008"/>
        </w:numPr>
        <w:pStyle w:val="Compact"/>
      </w:pPr>
      <w:r>
        <w:t xml:space="preserve">إتاحة الوصول في حينه إلى الموظفين والمقار والأنظمة وبيانات الدخول اللازمة لتنفيذ الخدمات.</w:t>
      </w:r>
    </w:p>
    <w:p>
      <w:pPr>
        <w:numPr>
          <w:ilvl w:val="0"/>
          <w:numId w:val="1008"/>
        </w:numPr>
        <w:pStyle w:val="Compact"/>
      </w:pPr>
      <w:r>
        <w:t xml:space="preserve">ترشيح مختبِرين وإتمام اختبار قبول المستخدم خلال الفترات المتفق عليها.</w:t>
      </w:r>
    </w:p>
    <w:p>
      <w:pPr>
        <w:numPr>
          <w:ilvl w:val="0"/>
          <w:numId w:val="1008"/>
        </w:numPr>
        <w:pStyle w:val="Compact"/>
      </w:pPr>
      <w:r>
        <w:t xml:space="preserve">ضمان حضور المستخدمين المرشَّحين جلسات التدريب المقررة.</w:t>
      </w:r>
    </w:p>
    <w:p>
      <w:pPr>
        <w:numPr>
          <w:ilvl w:val="0"/>
          <w:numId w:val="1008"/>
        </w:numPr>
        <w:pStyle w:val="Compact"/>
      </w:pPr>
      <w:r>
        <w:t xml:space="preserve">الحصول على أي ترخيص أو اشتراك أو استضافة أو أجهزة من أطراف ثالثة وسداد قيمتها.</w:t>
      </w:r>
    </w:p>
    <w:p>
      <w:pPr>
        <w:numPr>
          <w:ilvl w:val="0"/>
          <w:numId w:val="1008"/>
        </w:numPr>
        <w:pStyle w:val="Compact"/>
      </w:pPr>
      <w:r>
        <w:t xml:space="preserve">الردّ على الاستفسارات الخطية خلال</w:t>
      </w:r>
      <w:r>
        <w:t xml:space="preserve"> </w:t>
      </w:r>
      <w:r>
        <w:rPr>
          <w:b/>
        </w:rPr>
        <w:t xml:space="preserve">ثلاثة (3) أيام عمل</w:t>
      </w:r>
      <w:r>
        <w:t xml:space="preserve">.</w:t>
      </w:r>
    </w:p>
    <w:p>
      <w:pPr>
        <w:pStyle w:val="FirstParagraph"/>
      </w:pPr>
      <w:r>
        <w:t xml:space="preserve">Timelines are calculated from the kick-off date and assume the Client meets the obligations above. A delay caused by the Client extends the affected dates day for day, without penalty to the Service Provider.</w:t>
      </w:r>
    </w:p>
    <w:p>
      <w:pPr>
        <w:pStyle w:val="BodyText"/>
      </w:pPr>
      <w:r>
        <w:t xml:space="preserve">تُحتسب المدد الزمنية من تاريخ انطلاق المشروع وعلى افتراض وفاء العميل بالالتزامات المذكورة أعلاه. وأي تأخير ناشئ عن العميل يمدّد المواعيد المتأثرة يوماً بيوم دون أي غرامة على مزود الخدمة.</w:t>
      </w:r>
    </w:p>
    <w:p>
      <w:pPr>
        <w:pStyle w:val="Heading2"/>
      </w:pPr>
      <w:bookmarkStart w:id="44" w:name="fees-invoicing-payment"/>
      <w:r>
        <w:t xml:space="preserve">7. Fees, Invoicing &amp; Payment</w:t>
      </w:r>
      <w:bookmarkEnd w:id="44"/>
    </w:p>
    <w:p>
      <w:pPr>
        <w:pStyle w:val="Heading2"/>
      </w:pPr>
      <w:bookmarkStart w:id="45" w:name="الأتعاب-والفوترة-والسداد"/>
      <w:r>
        <w:t xml:space="preserve">7. الأتعاب والفوترة والسداد</w:t>
      </w:r>
      <w:bookmarkEnd w:id="45"/>
    </w:p>
    <w:p>
      <w:pPr>
        <w:pStyle w:val="FirstParagraph"/>
      </w:pPr>
      <w:r>
        <w:rPr>
          <w:b/>
        </w:rPr>
        <w:t xml:space="preserve">Payment Structure: 50% / 50%</w:t>
      </w:r>
      <w:r>
        <w:t xml:space="preserve"> </w:t>
      </w:r>
      <w:r>
        <w:t xml:space="preserve">— Half on signing, half on delivery — of the value stated in Annex A / the applicable Work Order. All amounts are in Kuwaiti Dinars (KWD).</w:t>
      </w:r>
    </w:p>
    <w:p>
      <w:pPr>
        <w:pStyle w:val="BodyText"/>
      </w:pPr>
      <w:r>
        <w:rPr>
          <w:b/>
        </w:rPr>
        <w:t xml:space="preserve">هيكل الدفعات: 50% / 50%</w:t>
      </w:r>
      <w:r>
        <w:t xml:space="preserve"> </w:t>
      </w:r>
      <w:r>
        <w:t xml:space="preserve">— نصف القيمة عند التوقيع والنصف الآخر عند التسليم — من القيمة المبيّنة في الملحق (أ) أو أمر العمل ذي الصلة. وجميع المبالغ بالدينار الكويتي (د.ك).</w:t>
      </w:r>
    </w:p>
    <w:tbl>
      <w:tblPr>
        <w:tblStyle w:val="Table"/>
        <w:tblW w:type="pct" w:w="0.0"/>
        <w:tblLook w:firstRow="1"/>
      </w:tblPr>
      <w:tblGrid/>
      <w:tr>
        <w:trPr>
          <w:cnfStyle w:firstRow="1"/>
        </w:trPr>
        <w:tc>
          <w:tcPr>
            <w:tcBorders>
              <w:bottom w:val="single"/>
            </w:tcBorders>
            <w:vAlign w:val="bottom"/>
          </w:tcPr>
          <w:p>
            <w:pPr>
              <w:pStyle w:val="Compact"/>
              <w:jc w:val="left"/>
            </w:pPr>
            <w:r>
              <w:t xml:space="preserve">Milestone</w:t>
            </w:r>
          </w:p>
        </w:tc>
        <w:tc>
          <w:tcPr>
            <w:tcBorders>
              <w:bottom w:val="single"/>
            </w:tcBorders>
            <w:vAlign w:val="bottom"/>
          </w:tcPr>
          <w:p>
            <w:pPr>
              <w:pStyle w:val="Compact"/>
              <w:jc w:val="left"/>
            </w:pPr>
            <w:r>
              <w:t xml:space="preserve">Share</w:t>
            </w:r>
          </w:p>
        </w:tc>
        <w:tc>
          <w:tcPr>
            <w:tcBorders>
              <w:bottom w:val="single"/>
            </w:tcBorders>
            <w:vAlign w:val="bottom"/>
          </w:tcPr>
          <w:p>
            <w:pPr>
              <w:pStyle w:val="Compact"/>
              <w:jc w:val="left"/>
            </w:pPr>
            <w:r>
              <w:t xml:space="preserve">Amount (KWD)</w:t>
            </w:r>
          </w:p>
        </w:tc>
      </w:tr>
      <w:tr>
        <w:tc>
          <w:p>
            <w:pPr>
              <w:pStyle w:val="Compact"/>
              <w:jc w:val="left"/>
            </w:pPr>
            <w:r>
              <w:t xml:space="preserve">1 · On signing of this Agreement / the Work Order</w:t>
            </w:r>
          </w:p>
        </w:tc>
        <w:tc>
          <w:p>
            <w:pPr>
              <w:pStyle w:val="Compact"/>
              <w:jc w:val="left"/>
            </w:pPr>
            <w:r>
              <w:t xml:space="preserve">50%</w:t>
            </w:r>
          </w:p>
        </w:tc>
        <w:tc>
          <w:p>
            <w:pPr>
              <w:pStyle w:val="Compact"/>
              <w:jc w:val="left"/>
            </w:pPr>
            <w:r>
              <w:t xml:space="preserve">_____________________</w:t>
            </w:r>
          </w:p>
        </w:tc>
      </w:tr>
      <w:tr>
        <w:tc>
          <w:p>
            <w:pPr>
              <w:pStyle w:val="Compact"/>
              <w:jc w:val="left"/>
            </w:pPr>
            <w:r>
              <w:t xml:space="preserve">2 · On delivery and Acceptance of the Deliverables</w:t>
            </w:r>
          </w:p>
        </w:tc>
        <w:tc>
          <w:p>
            <w:pPr>
              <w:pStyle w:val="Compact"/>
              <w:jc w:val="left"/>
            </w:pPr>
            <w:r>
              <w:t xml:space="preserve">50%</w:t>
            </w:r>
          </w:p>
        </w:tc>
        <w:tc>
          <w:p>
            <w:pPr>
              <w:pStyle w:val="Compact"/>
              <w:jc w:val="left"/>
            </w:pPr>
            <w:r>
              <w:t xml:space="preserve">_____________________</w:t>
            </w:r>
          </w:p>
        </w:tc>
      </w:tr>
      <w:tr>
        <w:tc>
          <w:p>
            <w:pPr>
              <w:pStyle w:val="Compact"/>
              <w:jc w:val="left"/>
            </w:pPr>
            <w:r>
              <w:rPr>
                <w:b/>
              </w:rPr>
              <w:t xml:space="preserve">Total</w:t>
            </w:r>
          </w:p>
        </w:tc>
        <w:tc>
          <w:p>
            <w:pPr>
              <w:pStyle w:val="Compact"/>
              <w:jc w:val="left"/>
            </w:pPr>
            <w:r>
              <w:rPr>
                <w:b/>
              </w:rPr>
              <w:t xml:space="preserve">100%</w:t>
            </w:r>
          </w:p>
        </w:tc>
        <w:tc>
          <w:p>
            <w:pPr>
              <w:pStyle w:val="Compact"/>
              <w:jc w:val="left"/>
            </w:pPr>
            <w:r>
              <w:rPr>
                <w:b/>
              </w:rPr>
              <w:t xml:space="preserve">_____________________</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المرحلة</w:t>
            </w:r>
          </w:p>
        </w:tc>
        <w:tc>
          <w:tcPr>
            <w:tcBorders>
              <w:bottom w:val="single"/>
            </w:tcBorders>
            <w:vAlign w:val="bottom"/>
          </w:tcPr>
          <w:p>
            <w:pPr>
              <w:pStyle w:val="Compact"/>
              <w:jc w:val="left"/>
            </w:pPr>
            <w:r>
              <w:t xml:space="preserve">النسبة</w:t>
            </w:r>
          </w:p>
        </w:tc>
        <w:tc>
          <w:tcPr>
            <w:tcBorders>
              <w:bottom w:val="single"/>
            </w:tcBorders>
            <w:vAlign w:val="bottom"/>
          </w:tcPr>
          <w:p>
            <w:pPr>
              <w:pStyle w:val="Compact"/>
              <w:jc w:val="left"/>
            </w:pPr>
            <w:r>
              <w:t xml:space="preserve">المبلغ (د.ك)</w:t>
            </w:r>
          </w:p>
        </w:tc>
      </w:tr>
      <w:tr>
        <w:tc>
          <w:p>
            <w:pPr>
              <w:pStyle w:val="Compact"/>
              <w:jc w:val="left"/>
            </w:pPr>
            <w:r>
              <w:t xml:space="preserve">1 · عند توقيع هذه الاتفاقية / أمر العمل</w:t>
            </w:r>
          </w:p>
        </w:tc>
        <w:tc>
          <w:p>
            <w:pPr>
              <w:pStyle w:val="Compact"/>
              <w:jc w:val="left"/>
            </w:pPr>
            <w:r>
              <w:t xml:space="preserve">50%</w:t>
            </w:r>
          </w:p>
        </w:tc>
        <w:tc>
          <w:p>
            <w:pPr>
              <w:pStyle w:val="Compact"/>
              <w:jc w:val="left"/>
            </w:pPr>
            <w:r>
              <w:t xml:space="preserve">_____________________</w:t>
            </w:r>
          </w:p>
        </w:tc>
      </w:tr>
      <w:tr>
        <w:tc>
          <w:p>
            <w:pPr>
              <w:pStyle w:val="Compact"/>
              <w:jc w:val="left"/>
            </w:pPr>
            <w:r>
              <w:t xml:space="preserve">2 · عند التسليم وقبول المخرجات</w:t>
            </w:r>
          </w:p>
        </w:tc>
        <w:tc>
          <w:p>
            <w:pPr>
              <w:pStyle w:val="Compact"/>
              <w:jc w:val="left"/>
            </w:pPr>
            <w:r>
              <w:t xml:space="preserve">50%</w:t>
            </w:r>
          </w:p>
        </w:tc>
        <w:tc>
          <w:p>
            <w:pPr>
              <w:pStyle w:val="Compact"/>
              <w:jc w:val="left"/>
            </w:pPr>
            <w:r>
              <w:t xml:space="preserve">_____________________</w:t>
            </w:r>
          </w:p>
        </w:tc>
      </w:tr>
      <w:tr>
        <w:tc>
          <w:p>
            <w:pPr>
              <w:pStyle w:val="Compact"/>
              <w:jc w:val="left"/>
            </w:pPr>
            <w:r>
              <w:rPr>
                <w:b/>
              </w:rPr>
              <w:t xml:space="preserve">الإجمالي</w:t>
            </w:r>
          </w:p>
        </w:tc>
        <w:tc>
          <w:p>
            <w:pPr>
              <w:pStyle w:val="Compact"/>
              <w:jc w:val="left"/>
            </w:pPr>
            <w:r>
              <w:rPr>
                <w:b/>
              </w:rPr>
              <w:t xml:space="preserve">100%</w:t>
            </w:r>
          </w:p>
        </w:tc>
        <w:tc>
          <w:p>
            <w:pPr>
              <w:pStyle w:val="Compact"/>
              <w:jc w:val="left"/>
            </w:pPr>
            <w:r>
              <w:rPr>
                <w:b/>
              </w:rPr>
              <w:t xml:space="preserve">_____________________</w:t>
            </w:r>
          </w:p>
        </w:tc>
      </w:tr>
    </w:tbl>
    <w:p>
      <w:pPr>
        <w:numPr>
          <w:ilvl w:val="0"/>
          <w:numId w:val="1009"/>
        </w:numPr>
        <w:pStyle w:val="Compact"/>
      </w:pPr>
      <w:r>
        <w:t xml:space="preserve">Invoices are payable within</w:t>
      </w:r>
      <w:r>
        <w:t xml:space="preserve"> </w:t>
      </w:r>
      <w:r>
        <w:rPr>
          <w:b/>
        </w:rPr>
        <w:t xml:space="preserve">fifteen (15) days</w:t>
      </w:r>
      <w:r>
        <w:t xml:space="preserve"> </w:t>
      </w:r>
      <w:r>
        <w:t xml:space="preserve">of the invoice date, by bank transfer or cheque to the details stated on the invoice.</w:t>
      </w:r>
    </w:p>
    <w:p>
      <w:pPr>
        <w:numPr>
          <w:ilvl w:val="0"/>
          <w:numId w:val="1009"/>
        </w:numPr>
        <w:pStyle w:val="Compact"/>
      </w:pPr>
      <w:r>
        <w:t xml:space="preserve">Fees exclude third-party licences, subscriptions, hosting, hardware and travel outside the State of Kuwait unless the Work Order states otherwise.</w:t>
      </w:r>
    </w:p>
    <w:p>
      <w:pPr>
        <w:numPr>
          <w:ilvl w:val="0"/>
          <w:numId w:val="1009"/>
        </w:numPr>
        <w:pStyle w:val="Compact"/>
      </w:pPr>
      <w:r>
        <w:t xml:space="preserve">Any tax, duty or governmental charge imposed by law on the Services is borne by the Client and added to the invoice.</w:t>
      </w:r>
    </w:p>
    <w:p>
      <w:pPr>
        <w:numPr>
          <w:ilvl w:val="0"/>
          <w:numId w:val="1009"/>
        </w:numPr>
        <w:pStyle w:val="Compact"/>
      </w:pPr>
      <w:r>
        <w:t xml:space="preserve">If an undisputed invoice remains unpaid for more than fifteen (15) days after its due date, the Service Provider may suspend the Services after written notice, without prejudice to its other rights.</w:t>
      </w:r>
    </w:p>
    <w:p>
      <w:pPr>
        <w:numPr>
          <w:ilvl w:val="0"/>
          <w:numId w:val="1010"/>
        </w:numPr>
        <w:pStyle w:val="Compact"/>
      </w:pPr>
      <w:r>
        <w:t xml:space="preserve">تُسدَّد الفواتير خلال</w:t>
      </w:r>
      <w:r>
        <w:t xml:space="preserve"> </w:t>
      </w:r>
      <w:r>
        <w:rPr>
          <w:b/>
        </w:rPr>
        <w:t xml:space="preserve">خمسة عشر (15) يوماً</w:t>
      </w:r>
      <w:r>
        <w:t xml:space="preserve"> </w:t>
      </w:r>
      <w:r>
        <w:t xml:space="preserve">من تاريخ الفاتورة، بالتحويل البنكي أو بشيك وفق البيانات المدوّنة على الفاتورة.</w:t>
      </w:r>
    </w:p>
    <w:p>
      <w:pPr>
        <w:numPr>
          <w:ilvl w:val="0"/>
          <w:numId w:val="1010"/>
        </w:numPr>
        <w:pStyle w:val="Compact"/>
      </w:pPr>
      <w:r>
        <w:t xml:space="preserve">لا تشمل الأتعاب تراخيص واشتراكات الأطراف الثالثة والاستضافة والأجهزة والسفر خارج دولة الكويت ما لم ينص أمر العمل على خلاف ذلك.</w:t>
      </w:r>
    </w:p>
    <w:p>
      <w:pPr>
        <w:numPr>
          <w:ilvl w:val="0"/>
          <w:numId w:val="1010"/>
        </w:numPr>
        <w:pStyle w:val="Compact"/>
      </w:pPr>
      <w:r>
        <w:t xml:space="preserve">يتحمل العميل أي ضريبة أو رسم أو عبء حكومي يفرضه القانون على الخدمات، ويُضاف إلى الفاتورة.</w:t>
      </w:r>
    </w:p>
    <w:p>
      <w:pPr>
        <w:numPr>
          <w:ilvl w:val="0"/>
          <w:numId w:val="1010"/>
        </w:numPr>
        <w:pStyle w:val="Compact"/>
      </w:pPr>
      <w:r>
        <w:t xml:space="preserve">إذا بقيت فاتورة غير متنازع عليها دون سداد لأكثر من خمسة عشر (15) يوماً بعد تاريخ استحقاقها، جاز لمزود الخدمة إيقاف الخدمات بعد إخطار خطي، دون إخلال بحقوقه الأخرى.</w:t>
      </w:r>
    </w:p>
    <w:p>
      <w:pPr>
        <w:pStyle w:val="Heading2"/>
      </w:pPr>
      <w:bookmarkStart w:id="46" w:name="intellectual-property-licences"/>
      <w:r>
        <w:t xml:space="preserve">8. Intellectual Property &amp; Licences</w:t>
      </w:r>
      <w:bookmarkEnd w:id="46"/>
    </w:p>
    <w:p>
      <w:pPr>
        <w:pStyle w:val="Heading2"/>
      </w:pPr>
      <w:bookmarkStart w:id="47" w:name="الملكية-الفكرية-والتراخيص"/>
      <w:r>
        <w:t xml:space="preserve">8. الملكية الفكرية والتراخيص</w:t>
      </w:r>
      <w:bookmarkEnd w:id="47"/>
    </w:p>
    <w:p>
      <w:pPr>
        <w:numPr>
          <w:ilvl w:val="0"/>
          <w:numId w:val="1011"/>
        </w:numPr>
        <w:pStyle w:val="Compact"/>
      </w:pPr>
      <w:r>
        <w:t xml:space="preserve">Each Party keeps ownership of the intellectual property it held before this Agreement or develops independently of it.</w:t>
      </w:r>
    </w:p>
    <w:p>
      <w:pPr>
        <w:numPr>
          <w:ilvl w:val="0"/>
          <w:numId w:val="1011"/>
        </w:numPr>
        <w:pStyle w:val="Compact"/>
      </w:pPr>
      <w:r>
        <w:t xml:space="preserve">Upon full payment of the Fees due for a Deliverable, the Client receives a perpetual, non-exclusive, non-transferable licence to use that Deliverable for its own internal business purposes.</w:t>
      </w:r>
    </w:p>
    <w:p>
      <w:pPr>
        <w:numPr>
          <w:ilvl w:val="0"/>
          <w:numId w:val="1011"/>
        </w:numPr>
        <w:pStyle w:val="Compact"/>
      </w:pPr>
      <w:r>
        <w:t xml:space="preserve">Third-party and open-source components remain subject to their own licence terms, which the Client undertakes to observe.</w:t>
      </w:r>
    </w:p>
    <w:p>
      <w:pPr>
        <w:numPr>
          <w:ilvl w:val="0"/>
          <w:numId w:val="1011"/>
        </w:numPr>
        <w:pStyle w:val="Compact"/>
      </w:pPr>
      <w:r>
        <w:t xml:space="preserve">The Service Provider retains ownership of its methods, know-how, tools, frameworks and reusable libraries, and may reuse them for other clients provided no Client data or Confidential Information is disclosed.</w:t>
      </w:r>
    </w:p>
    <w:p>
      <w:pPr>
        <w:numPr>
          <w:ilvl w:val="0"/>
          <w:numId w:val="1011"/>
        </w:numPr>
        <w:pStyle w:val="Compact"/>
      </w:pPr>
      <w:r>
        <w:t xml:space="preserve">All data entered into or produced by the system remains the exclusive property of the Client and is exported to the Client in a standard readable format on request.</w:t>
      </w:r>
    </w:p>
    <w:p>
      <w:pPr>
        <w:numPr>
          <w:ilvl w:val="0"/>
          <w:numId w:val="1012"/>
        </w:numPr>
        <w:pStyle w:val="Compact"/>
      </w:pPr>
      <w:r>
        <w:t xml:space="preserve">يحتفظ كل طرف بملكية حقوقه الفكرية القائمة قبل هذه الاتفاقية أو التي يطوّرها بشكل مستقل عنها.</w:t>
      </w:r>
    </w:p>
    <w:p>
      <w:pPr>
        <w:numPr>
          <w:ilvl w:val="0"/>
          <w:numId w:val="1012"/>
        </w:numPr>
        <w:pStyle w:val="Compact"/>
      </w:pPr>
      <w:r>
        <w:t xml:space="preserve">عند سداد كامل الأتعاب المستحقة عن أي مُخرَج، يحصل العميل على ترخيص دائم غير حصري وغير قابل للتنازل لاستخدام ذلك المُخرَج لأغراض أعماله الداخلية.</w:t>
      </w:r>
    </w:p>
    <w:p>
      <w:pPr>
        <w:numPr>
          <w:ilvl w:val="0"/>
          <w:numId w:val="1012"/>
        </w:numPr>
        <w:pStyle w:val="Compact"/>
      </w:pPr>
      <w:r>
        <w:t xml:space="preserve">تظل مكوّنات الأطراف الثالثة والمكوّنات مفتوحة المصدر خاضعة لشروط تراخيصها الخاصة، ويلتزم العميل بمراعاتها.</w:t>
      </w:r>
    </w:p>
    <w:p>
      <w:pPr>
        <w:numPr>
          <w:ilvl w:val="0"/>
          <w:numId w:val="1012"/>
        </w:numPr>
        <w:pStyle w:val="Compact"/>
      </w:pPr>
      <w:r>
        <w:t xml:space="preserve">يحتفظ مزود الخدمة بملكية مناهجه وخبراته وأدواته وأطر عمله ومكتباته القابلة لإعادة الاستخدام، ويجوز له إعادة استخدامها لعملاء آخرين دون الإفصاح عن أي بيانات للعميل أو معلومات سرية.</w:t>
      </w:r>
    </w:p>
    <w:p>
      <w:pPr>
        <w:numPr>
          <w:ilvl w:val="0"/>
          <w:numId w:val="1012"/>
        </w:numPr>
        <w:pStyle w:val="Compact"/>
      </w:pPr>
      <w:r>
        <w:t xml:space="preserve">تبقى جميع البيانات المُدخَلة في النظام أو الناتجة عنه ملكاً خالصاً للعميل، وتُصدَّر له بصيغة قياسية قابلة للقراءة عند الطلب.</w:t>
      </w:r>
    </w:p>
    <w:p>
      <w:pPr>
        <w:pStyle w:val="FirstParagraph"/>
      </w:pPr>
      <w:r>
        <w:t xml:space="preserve">The Service Provider warrants that the Deliverables it authors do not knowingly infringe the intellectual property rights of any third party, and will remedy any component that is found to infringe, by correcting it, replacing it or obtaining the necessary licence.</w:t>
      </w:r>
    </w:p>
    <w:p>
      <w:pPr>
        <w:pStyle w:val="BodyText"/>
      </w:pPr>
      <w:r>
        <w:t xml:space="preserve">يضمن مزود الخدمة أن المخرجات التي يؤلّفها لا تنتهك عن علم حقوق الملكية الفكرية لأي طرف ثالث، ويلتزم بمعالجة أي مكوّن يثبت انتهاكه، بتصحيحه أو استبداله أو الحصول على الترخيص اللازم له.</w:t>
      </w:r>
    </w:p>
    <w:p>
      <w:pPr>
        <w:pStyle w:val="Heading2"/>
      </w:pPr>
      <w:bookmarkStart w:id="48" w:name="confidentiality-data-protection"/>
      <w:r>
        <w:t xml:space="preserve">9. Confidentiality &amp; Data Protection</w:t>
      </w:r>
      <w:bookmarkEnd w:id="48"/>
    </w:p>
    <w:p>
      <w:pPr>
        <w:pStyle w:val="Heading2"/>
      </w:pPr>
      <w:bookmarkStart w:id="49" w:name="السرية-وحماية-البيانات"/>
      <w:r>
        <w:t xml:space="preserve">9. السرية وحماية البيانات</w:t>
      </w:r>
      <w:bookmarkEnd w:id="49"/>
    </w:p>
    <w:p>
      <w:pPr>
        <w:pStyle w:val="FirstParagraph"/>
      </w:pPr>
      <w:r>
        <w:t xml:space="preserve">Each Party shall keep the other’s commercial, technical, operational and financial information strictly confidential, use it only for the purposes of this Agreement, disclose it only to the personnel who need it, and continue to do so for</w:t>
      </w:r>
      <w:r>
        <w:t xml:space="preserve"> </w:t>
      </w:r>
      <w:r>
        <w:rPr>
          <w:b/>
        </w:rPr>
        <w:t xml:space="preserve">three (3) years</w:t>
      </w:r>
      <w:r>
        <w:t xml:space="preserve"> </w:t>
      </w:r>
      <w:r>
        <w:t xml:space="preserve">after this Agreement ends.</w:t>
      </w:r>
    </w:p>
    <w:p>
      <w:pPr>
        <w:pStyle w:val="BodyText"/>
      </w:pPr>
      <w:r>
        <w:t xml:space="preserve">يلتزم كل طرف بالحفاظ على السرية التامة للمعلومات التجارية والفنية والتشغيلية والمالية للطرف الآخر، وباستخدامها لأغراض هذه الاتفاقية فقط، وبعدم الإفصاح عنها إلا للعاملين الذين تقتضي مهامهم الاطلاع عليها، ويستمر هذا الالتزام لمدة</w:t>
      </w:r>
      <w:r>
        <w:t xml:space="preserve"> </w:t>
      </w:r>
      <w:r>
        <w:rPr>
          <w:b/>
        </w:rPr>
        <w:t xml:space="preserve">ثلاث (3) سنوات</w:t>
      </w:r>
      <w:r>
        <w:t xml:space="preserve"> </w:t>
      </w:r>
      <w:r>
        <w:t xml:space="preserve">بعد انتهاء الاتفاقية.</w:t>
      </w:r>
    </w:p>
    <w:p>
      <w:pPr>
        <w:pStyle w:val="Heading3"/>
      </w:pPr>
      <w:bookmarkStart w:id="50" w:name="exceptions-and-return"/>
      <w:r>
        <w:t xml:space="preserve">Exceptions and return</w:t>
      </w:r>
      <w:bookmarkEnd w:id="50"/>
    </w:p>
    <w:p>
      <w:pPr>
        <w:pStyle w:val="Heading3"/>
      </w:pPr>
      <w:bookmarkStart w:id="51" w:name="الاستثناءات-والإعادة"/>
      <w:r>
        <w:t xml:space="preserve">الاستثناءات والإعادة</w:t>
      </w:r>
      <w:bookmarkEnd w:id="51"/>
    </w:p>
    <w:p>
      <w:pPr>
        <w:pStyle w:val="FirstParagraph"/>
      </w:pPr>
      <w:r>
        <w:t xml:space="preserve">The obligation does not apply to information that is public through no breach, that was lawfully known before disclosure, or whose disclosure is required by law or by a competent authority — in which case the disclosing Party is notified in advance where lawful. On termination, each Party returns or destroys the other’s Confidential Information on written request, except copies it must retain by law.</w:t>
      </w:r>
    </w:p>
    <w:p>
      <w:pPr>
        <w:pStyle w:val="BodyText"/>
      </w:pPr>
      <w:r>
        <w:t xml:space="preserve">لا يسري هذا الالتزام على المعلومات التي أصبحت علنية دون إخلال، أو التي كانت معلومة بصورة مشروعة قبل الإفصاح، أو التي يوجب القانون أو جهة مختصة الإفصاح عنها — على أن يُخطَر الطرف صاحب المعلومة مسبقاً متى كان ذلك جائزاً قانوناً. وعند الإنهاء، يعيد كل طرف معلومات الطرف الآخر السرية أو يتلفها بناءً على طلب خطي، فيما عدا النسخ الواجب الاحتفاظ بها قانوناً.</w:t>
      </w:r>
    </w:p>
    <w:p>
      <w:pPr>
        <w:pStyle w:val="Heading3"/>
      </w:pPr>
      <w:bookmarkStart w:id="52" w:name="personal-and-operational-data"/>
      <w:r>
        <w:t xml:space="preserve">Personal and operational data</w:t>
      </w:r>
      <w:bookmarkEnd w:id="52"/>
    </w:p>
    <w:p>
      <w:pPr>
        <w:pStyle w:val="Heading3"/>
      </w:pPr>
      <w:bookmarkStart w:id="53" w:name="البيانات-الشخصية-والتشغيلية"/>
      <w:r>
        <w:t xml:space="preserve">البيانات الشخصية والتشغيلية</w:t>
      </w:r>
      <w:bookmarkEnd w:id="53"/>
    </w:p>
    <w:p>
      <w:pPr>
        <w:numPr>
          <w:ilvl w:val="0"/>
          <w:numId w:val="1013"/>
        </w:numPr>
        <w:pStyle w:val="Compact"/>
      </w:pPr>
      <w:r>
        <w:t xml:space="preserve">The Service Provider processes the Client’s data only on the Client’s instructions and only as needed to deliver the Services.</w:t>
      </w:r>
    </w:p>
    <w:p>
      <w:pPr>
        <w:numPr>
          <w:ilvl w:val="0"/>
          <w:numId w:val="1013"/>
        </w:numPr>
        <w:pStyle w:val="Compact"/>
      </w:pPr>
      <w:r>
        <w:t xml:space="preserve">Reasonable technical and organisational safeguards are applied to protect that data against loss, misuse and unauthorised access.</w:t>
      </w:r>
    </w:p>
    <w:p>
      <w:pPr>
        <w:numPr>
          <w:ilvl w:val="0"/>
          <w:numId w:val="1013"/>
        </w:numPr>
        <w:pStyle w:val="Compact"/>
      </w:pPr>
      <w:r>
        <w:t xml:space="preserve">Any confirmed data breach affecting Client data is notified to the Client without undue delay, together with the corrective action taken.</w:t>
      </w:r>
    </w:p>
    <w:p>
      <w:pPr>
        <w:numPr>
          <w:ilvl w:val="0"/>
          <w:numId w:val="1013"/>
        </w:numPr>
        <w:pStyle w:val="Compact"/>
      </w:pPr>
      <w:r>
        <w:t xml:space="preserve">Client data is not transferred to any third party without the Client’s prior written consent, save where required by Kuwaiti law.</w:t>
      </w:r>
    </w:p>
    <w:p>
      <w:pPr>
        <w:numPr>
          <w:ilvl w:val="0"/>
          <w:numId w:val="1014"/>
        </w:numPr>
        <w:pStyle w:val="Compact"/>
      </w:pPr>
      <w:r>
        <w:t xml:space="preserve">يعالج مزود الخدمة بيانات العميل وفق تعليمات العميل فقط وبالقدر اللازم لتقديم الخدمات.</w:t>
      </w:r>
    </w:p>
    <w:p>
      <w:pPr>
        <w:numPr>
          <w:ilvl w:val="0"/>
          <w:numId w:val="1014"/>
        </w:numPr>
        <w:pStyle w:val="Compact"/>
      </w:pPr>
      <w:r>
        <w:t xml:space="preserve">تُطبَّق ضمانات فنية وتنظيمية معقولة لحماية تلك البيانات من الفقد وسوء الاستخدام والوصول غير المصرّح به.</w:t>
      </w:r>
    </w:p>
    <w:p>
      <w:pPr>
        <w:numPr>
          <w:ilvl w:val="0"/>
          <w:numId w:val="1014"/>
        </w:numPr>
        <w:pStyle w:val="Compact"/>
      </w:pPr>
      <w:r>
        <w:t xml:space="preserve">يُخطَر العميل دون تأخير غير مبرر بأي اختراق مؤكد يمسّ بياناته، مع بيان الإجراءات التصحيحية المتخذة.</w:t>
      </w:r>
    </w:p>
    <w:p>
      <w:pPr>
        <w:numPr>
          <w:ilvl w:val="0"/>
          <w:numId w:val="1014"/>
        </w:numPr>
        <w:pStyle w:val="Compact"/>
      </w:pPr>
      <w:r>
        <w:t xml:space="preserve">لا تُنقل بيانات العميل إلى أي طرف ثالث دون موافقته الخطية المسبقة، إلا حيث يوجب القانون الكويتي ذلك.</w:t>
      </w:r>
    </w:p>
    <w:p>
      <w:pPr>
        <w:pStyle w:val="Heading2"/>
      </w:pPr>
      <w:bookmarkStart w:id="54" w:name="warranty-support"/>
      <w:r>
        <w:t xml:space="preserve">10. Warranty &amp; Support</w:t>
      </w:r>
      <w:bookmarkEnd w:id="54"/>
    </w:p>
    <w:p>
      <w:pPr>
        <w:pStyle w:val="Heading2"/>
      </w:pPr>
      <w:bookmarkStart w:id="55" w:name="الضمان-والدعم"/>
      <w:r>
        <w:t xml:space="preserve">10. الضمان والدعم</w:t>
      </w:r>
      <w:bookmarkEnd w:id="55"/>
    </w:p>
    <w:p>
      <w:pPr>
        <w:pStyle w:val="FirstParagraph"/>
      </w:pPr>
      <w:r>
        <w:t xml:space="preserve">The Service Provider warrants that the Services are performed with reasonable skill and care by suitably qualified personnel, and in accordance with the specification agreed in the applicable Work Order.</w:t>
      </w:r>
    </w:p>
    <w:p>
      <w:pPr>
        <w:pStyle w:val="BodyText"/>
      </w:pPr>
      <w:r>
        <w:t xml:space="preserve">يضمن مزود الخدمة أداء الخدمات بالمهارة والعناية المعقولتين بواسطة كوادر مؤهلة تأهيلاً مناسباً، ووفقاً للمواصفات المتفق عليها في أمر العمل ذي الصلة.</w:t>
      </w:r>
    </w:p>
    <w:p>
      <w:pPr>
        <w:pStyle w:val="Heading3"/>
      </w:pPr>
      <w:bookmarkStart w:id="56" w:name="defect-warranty"/>
      <w:r>
        <w:t xml:space="preserve">Defect warranty</w:t>
      </w:r>
      <w:bookmarkEnd w:id="56"/>
    </w:p>
    <w:p>
      <w:pPr>
        <w:pStyle w:val="Heading3"/>
      </w:pPr>
      <w:bookmarkStart w:id="57" w:name="ضمان-المعالجة"/>
      <w:r>
        <w:t xml:space="preserve">ضمان المعالجة</w:t>
      </w:r>
      <w:bookmarkEnd w:id="57"/>
    </w:p>
    <w:p>
      <w:pPr>
        <w:pStyle w:val="FirstParagraph"/>
      </w:pPr>
      <w:r>
        <w:t xml:space="preserve">For</w:t>
      </w:r>
      <w:r>
        <w:t xml:space="preserve"> </w:t>
      </w:r>
      <w:r>
        <w:rPr>
          <w:b/>
        </w:rPr>
        <w:t xml:space="preserve">ninety (90) days</w:t>
      </w:r>
      <w:r>
        <w:t xml:space="preserve"> </w:t>
      </w:r>
      <w:r>
        <w:t xml:space="preserve">from the Acceptance of a Deliverable, the Service Provider corrects, free of charge, any reproducible defect that causes that Deliverable not to conform to its agreed specification.</w:t>
      </w:r>
    </w:p>
    <w:p>
      <w:pPr>
        <w:pStyle w:val="BodyText"/>
      </w:pPr>
      <w:r>
        <w:t xml:space="preserve">لمدة</w:t>
      </w:r>
      <w:r>
        <w:t xml:space="preserve"> </w:t>
      </w:r>
      <w:r>
        <w:rPr>
          <w:b/>
        </w:rPr>
        <w:t xml:space="preserve">تسعين (90) يوماً</w:t>
      </w:r>
      <w:r>
        <w:t xml:space="preserve"> </w:t>
      </w:r>
      <w:r>
        <w:t xml:space="preserve">من تاريخ قبول أي مُخرَج، يقوم مزود الخدمة دون مقابل بتصحيح أي خلل قابل لإعادة الإظهار يجعل ذلك المُخرَج غير مطابق للمواصفات المتفق عليها.</w:t>
      </w:r>
    </w:p>
    <w:p>
      <w:pPr>
        <w:pStyle w:val="Heading3"/>
      </w:pPr>
      <w:bookmarkStart w:id="58" w:name="what-the-warranty-does-not-cover"/>
      <w:r>
        <w:t xml:space="preserve">What the warranty does not cover</w:t>
      </w:r>
      <w:bookmarkEnd w:id="58"/>
    </w:p>
    <w:p>
      <w:pPr>
        <w:pStyle w:val="Heading3"/>
      </w:pPr>
      <w:bookmarkStart w:id="59" w:name="ما-لا-يشمله-الضمان"/>
      <w:r>
        <w:t xml:space="preserve">ما لا يشمله الضمان</w:t>
      </w:r>
      <w:bookmarkEnd w:id="59"/>
    </w:p>
    <w:p>
      <w:pPr>
        <w:numPr>
          <w:ilvl w:val="0"/>
          <w:numId w:val="1015"/>
        </w:numPr>
        <w:pStyle w:val="Compact"/>
      </w:pPr>
      <w:r>
        <w:t xml:space="preserve">Changes made to the system by the Client or by a third party without the Service Provider’s written agreement.</w:t>
      </w:r>
    </w:p>
    <w:p>
      <w:pPr>
        <w:numPr>
          <w:ilvl w:val="0"/>
          <w:numId w:val="1015"/>
        </w:numPr>
        <w:pStyle w:val="Compact"/>
      </w:pPr>
      <w:r>
        <w:t xml:space="preserve">Misuse, incorrect data entry, or operation outside the documented procedures.</w:t>
      </w:r>
    </w:p>
    <w:p>
      <w:pPr>
        <w:numPr>
          <w:ilvl w:val="0"/>
          <w:numId w:val="1015"/>
        </w:numPr>
        <w:pStyle w:val="Compact"/>
      </w:pPr>
      <w:r>
        <w:t xml:space="preserve">Faults in third-party software, hosting, networks or hardware, and version upgrades released by third-party vendors.</w:t>
      </w:r>
    </w:p>
    <w:p>
      <w:pPr>
        <w:numPr>
          <w:ilvl w:val="0"/>
          <w:numId w:val="1015"/>
        </w:numPr>
        <w:pStyle w:val="Compact"/>
      </w:pPr>
      <w:r>
        <w:t xml:space="preserve">New requirements or enhancements, which are handled as a Change Request under Clause 4.</w:t>
      </w:r>
    </w:p>
    <w:p>
      <w:pPr>
        <w:numPr>
          <w:ilvl w:val="0"/>
          <w:numId w:val="1016"/>
        </w:numPr>
        <w:pStyle w:val="Compact"/>
      </w:pPr>
      <w:r>
        <w:t xml:space="preserve">التعديلات التي يجريها العميل أو طرف ثالث على النظام دون موافقة خطية من مزود الخدمة.</w:t>
      </w:r>
    </w:p>
    <w:p>
      <w:pPr>
        <w:numPr>
          <w:ilvl w:val="0"/>
          <w:numId w:val="1016"/>
        </w:numPr>
        <w:pStyle w:val="Compact"/>
      </w:pPr>
      <w:r>
        <w:t xml:space="preserve">سوء الاستخدام أو إدخال البيانات بشكل خاطئ أو التشغيل خارج الإجراءات الموثّقة.</w:t>
      </w:r>
    </w:p>
    <w:p>
      <w:pPr>
        <w:numPr>
          <w:ilvl w:val="0"/>
          <w:numId w:val="1016"/>
        </w:numPr>
        <w:pStyle w:val="Compact"/>
      </w:pPr>
      <w:r>
        <w:t xml:space="preserve">الأعطال في برمجيات أو استضافة أو شبكات أو أجهزة الأطراف الثالثة، والترقيات التي يصدرها مورّدو تلك الأطراف.</w:t>
      </w:r>
    </w:p>
    <w:p>
      <w:pPr>
        <w:numPr>
          <w:ilvl w:val="0"/>
          <w:numId w:val="1016"/>
        </w:numPr>
        <w:pStyle w:val="Compact"/>
      </w:pPr>
      <w:r>
        <w:t xml:space="preserve">المتطلبات أو التحسينات الجديدة، وتُعالَج بطلب تغيير وفقاً للبند (4).</w:t>
      </w:r>
    </w:p>
    <w:p>
      <w:pPr>
        <w:pStyle w:val="FirstParagraph"/>
      </w:pPr>
      <w:r>
        <w:t xml:space="preserve">Support beyond the warranty period — response targets, service hours and a fixed monthly or annual fee — is provided under a separate support agreement signed by the Parties.</w:t>
      </w:r>
    </w:p>
    <w:p>
      <w:pPr>
        <w:pStyle w:val="BodyText"/>
      </w:pPr>
      <w:r>
        <w:t xml:space="preserve">أما الدعم بعد انتهاء مدة الضمان — بأزمنة استجابة وساعات خدمة ورسوم شهرية أو سنوية ثابتة — فيُقدَّم بموجب اتفاقية دعم مستقلة يوقّعها الطرفان.</w:t>
      </w:r>
    </w:p>
    <w:p>
      <w:pPr>
        <w:pStyle w:val="Heading2"/>
      </w:pPr>
      <w:bookmarkStart w:id="60" w:name="liability-force-majeure-conduct"/>
      <w:r>
        <w:t xml:space="preserve">11. Liability, Force Majeure &amp; Conduct</w:t>
      </w:r>
      <w:bookmarkEnd w:id="60"/>
    </w:p>
    <w:p>
      <w:pPr>
        <w:pStyle w:val="Heading2"/>
      </w:pPr>
      <w:bookmarkStart w:id="61" w:name="المسؤولية-والقوة-القاهرة-وقواعد-السلوك"/>
      <w:r>
        <w:t xml:space="preserve">11. المسؤولية والقوة القاهرة وقواعد السلوك</w:t>
      </w:r>
      <w:bookmarkEnd w:id="61"/>
    </w:p>
    <w:p>
      <w:pPr>
        <w:pStyle w:val="Heading3"/>
      </w:pPr>
      <w:bookmarkStart w:id="62" w:name="limitation-of-liability"/>
      <w:r>
        <w:t xml:space="preserve">Limitation of liability</w:t>
      </w:r>
      <w:bookmarkEnd w:id="62"/>
    </w:p>
    <w:p>
      <w:pPr>
        <w:pStyle w:val="Heading3"/>
      </w:pPr>
      <w:bookmarkStart w:id="63" w:name="حدود-المسؤولية"/>
      <w:r>
        <w:t xml:space="preserve">حدود المسؤولية</w:t>
      </w:r>
      <w:bookmarkEnd w:id="63"/>
    </w:p>
    <w:p>
      <w:pPr>
        <w:pStyle w:val="FirstParagraph"/>
      </w:pPr>
      <w:r>
        <w:t xml:space="preserve">The aggregate liability of either Party under this Agreement shall not exceed the amounts actually paid by the Client under it. Neither Party is liable for indirect or consequential loss, loss of profit, loss of business or loss of data; the Client remains responsible for maintaining its own backups. Nothing here limits liability for fraud or wilful misconduct.</w:t>
      </w:r>
    </w:p>
    <w:p>
      <w:pPr>
        <w:pStyle w:val="BodyText"/>
      </w:pPr>
      <w:r>
        <w:t xml:space="preserve">لا تتجاوز المسؤولية الإجمالية لأي من الطرفين بموجب هذه الاتفاقية المبالغ المسددة فعلياً من العميل بموجبها. ولا يُسأل أي طرف عن الأضرار غير المباشرة أو التبعية أو فوات الربح أو خسارة الأعمال أو فقد البيانات، ويبقى العميل مسؤولاً عن الاحتفاظ بنسخه الاحتياطية. ولا يحدّ ما تقدّم من المسؤولية عن الغش أو الخطأ العمدي.</w:t>
      </w:r>
    </w:p>
    <w:p>
      <w:pPr>
        <w:pStyle w:val="Heading3"/>
      </w:pPr>
      <w:bookmarkStart w:id="64" w:name="force-majeure"/>
      <w:r>
        <w:t xml:space="preserve">Force majeure</w:t>
      </w:r>
      <w:bookmarkEnd w:id="64"/>
    </w:p>
    <w:p>
      <w:pPr>
        <w:pStyle w:val="Heading3"/>
      </w:pPr>
      <w:bookmarkStart w:id="65" w:name="القوة-القاهرة"/>
      <w:r>
        <w:t xml:space="preserve">القوة القاهرة</w:t>
      </w:r>
      <w:bookmarkEnd w:id="65"/>
    </w:p>
    <w:p>
      <w:pPr>
        <w:pStyle w:val="FirstParagraph"/>
      </w:pPr>
      <w:r>
        <w:t xml:space="preserve">Neither Party is in breach for a delay caused by an event beyond its reasonable control. Obligations are suspended for the duration of the event, and if it continues for more than sixty (60) days either Party may terminate the affected Work Order with payment due for work already delivered.</w:t>
      </w:r>
    </w:p>
    <w:p>
      <w:pPr>
        <w:pStyle w:val="BodyText"/>
      </w:pPr>
      <w:r>
        <w:t xml:space="preserve">لا يُعدّ أي طرف مخلاً بالتزاماته بسبب تأخير ناتج عن حدث خارج عن سيطرته المعقولة. وتُعلَّق الالتزامات طوال مدة الحدث، فإذا استمر أكثر من ستين (60) يوماً جاز لأي من الطرفين إنهاء أمر العمل المتأثر مع استحقاق قيمة الأعمال المسلَّمة.</w:t>
      </w:r>
    </w:p>
    <w:p>
      <w:pPr>
        <w:pStyle w:val="Heading3"/>
      </w:pPr>
      <w:bookmarkStart w:id="66" w:name="subcontracting-personnel-and-publicity"/>
      <w:r>
        <w:t xml:space="preserve">Subcontracting, personnel and publicity</w:t>
      </w:r>
      <w:bookmarkEnd w:id="66"/>
    </w:p>
    <w:p>
      <w:pPr>
        <w:pStyle w:val="Heading3"/>
      </w:pPr>
      <w:bookmarkStart w:id="67" w:name="التعاقد-من-الباطن-والكوادر-والإشهار"/>
      <w:r>
        <w:t xml:space="preserve">التعاقد من الباطن والكوادر والإشهار</w:t>
      </w:r>
      <w:bookmarkEnd w:id="67"/>
    </w:p>
    <w:p>
      <w:pPr>
        <w:numPr>
          <w:ilvl w:val="0"/>
          <w:numId w:val="1017"/>
        </w:numPr>
        <w:pStyle w:val="Compact"/>
      </w:pPr>
      <w:r>
        <w:t xml:space="preserve">The Service Provider may use subcontractors but remains fully responsible for their work and for their compliance with Clause 9.</w:t>
      </w:r>
    </w:p>
    <w:p>
      <w:pPr>
        <w:numPr>
          <w:ilvl w:val="0"/>
          <w:numId w:val="1017"/>
        </w:numPr>
        <w:pStyle w:val="Compact"/>
      </w:pPr>
      <w:r>
        <w:t xml:space="preserve">Neither Party solicits or employs personnel of the other who are engaged on the Services during the term and for</w:t>
      </w:r>
      <w:r>
        <w:t xml:space="preserve"> </w:t>
      </w:r>
      <w:r>
        <w:rPr>
          <w:b/>
        </w:rPr>
        <w:t xml:space="preserve">twelve (12) months</w:t>
      </w:r>
      <w:r>
        <w:t xml:space="preserve"> </w:t>
      </w:r>
      <w:r>
        <w:t xml:space="preserve">afterwards, without prior written consent.</w:t>
      </w:r>
    </w:p>
    <w:p>
      <w:pPr>
        <w:numPr>
          <w:ilvl w:val="0"/>
          <w:numId w:val="1017"/>
        </w:numPr>
        <w:pStyle w:val="Compact"/>
      </w:pPr>
      <w:r>
        <w:t xml:space="preserve">The Service Provider may name the Client and describe the project in its credentials only with the Client’s prior written consent.</w:t>
      </w:r>
    </w:p>
    <w:p>
      <w:pPr>
        <w:numPr>
          <w:ilvl w:val="0"/>
          <w:numId w:val="1018"/>
        </w:numPr>
        <w:pStyle w:val="Compact"/>
      </w:pPr>
      <w:r>
        <w:t xml:space="preserve">يجوز لمزود الخدمة الاستعانة بمتعاقدين من الباطن، ويظل مسؤولاً مسؤولية كاملة عن أعمالهم وعن التزامهم بالبند (9).</w:t>
      </w:r>
    </w:p>
    <w:p>
      <w:pPr>
        <w:numPr>
          <w:ilvl w:val="0"/>
          <w:numId w:val="1018"/>
        </w:numPr>
        <w:pStyle w:val="Compact"/>
      </w:pPr>
      <w:r>
        <w:t xml:space="preserve">يمتنع كل طرف عن استقطاب أو توظيف كوادر الطرف الآخر العاملين على الخدمات، طوال مدة الاتفاقية ولمدة</w:t>
      </w:r>
      <w:r>
        <w:t xml:space="preserve"> </w:t>
      </w:r>
      <w:r>
        <w:rPr>
          <w:b/>
        </w:rPr>
        <w:t xml:space="preserve">اثني عشر (12) شهراً</w:t>
      </w:r>
      <w:r>
        <w:t xml:space="preserve"> </w:t>
      </w:r>
      <w:r>
        <w:t xml:space="preserve">بعدها، دون موافقة خطية مسبقة.</w:t>
      </w:r>
    </w:p>
    <w:p>
      <w:pPr>
        <w:numPr>
          <w:ilvl w:val="0"/>
          <w:numId w:val="1018"/>
        </w:numPr>
        <w:pStyle w:val="Compact"/>
      </w:pPr>
      <w:r>
        <w:t xml:space="preserve">لا يجوز لمزود الخدمة ذكر اسم العميل أو وصف المشروع ضمن أعماله المرجعية إلا بموافقة خطية مسبقة من العميل.</w:t>
      </w:r>
    </w:p>
    <w:p>
      <w:pPr>
        <w:pStyle w:val="Heading2"/>
      </w:pPr>
      <w:bookmarkStart w:id="68" w:name="term-suspension-termination"/>
      <w:r>
        <w:t xml:space="preserve">12. Term, Suspension &amp; Termination</w:t>
      </w:r>
      <w:bookmarkEnd w:id="68"/>
    </w:p>
    <w:p>
      <w:pPr>
        <w:pStyle w:val="Heading2"/>
      </w:pPr>
      <w:bookmarkStart w:id="69" w:name="المدة-والإيقاف-والإنهاء"/>
      <w:r>
        <w:t xml:space="preserve">12. المدة والإيقاف والإنهاء</w:t>
      </w:r>
      <w:bookmarkEnd w:id="69"/>
    </w:p>
    <w:p>
      <w:pPr>
        <w:pStyle w:val="FirstParagraph"/>
      </w:pPr>
      <w:r>
        <w:t xml:space="preserve">This Agreement takes effect on the Effective Date and remains in force until the Parties have completed every Work Order issued under it, unless terminated earlier in accordance with this Clause.</w:t>
      </w:r>
    </w:p>
    <w:p>
      <w:pPr>
        <w:pStyle w:val="BodyText"/>
      </w:pPr>
      <w:r>
        <w:t xml:space="preserve">تسري هذه الاتفاقية من تاريخ السريان وتظل نافذة حتى ينتهي الطرفان من تنفيذ كل أمر عمل صادر بموجبها، ما لم تُنهَ قبل ذلك وفقاً لأحكام هذا البند.</w:t>
      </w:r>
    </w:p>
    <w:p>
      <w:pPr>
        <w:numPr>
          <w:ilvl w:val="0"/>
          <w:numId w:val="1019"/>
        </w:numPr>
        <w:pStyle w:val="Compact"/>
      </w:pPr>
      <w:r>
        <w:t xml:space="preserve">Either Party may terminate this Agreement for convenience on</w:t>
      </w:r>
      <w:r>
        <w:t xml:space="preserve"> </w:t>
      </w:r>
      <w:r>
        <w:rPr>
          <w:b/>
        </w:rPr>
        <w:t xml:space="preserve">thirty (30) days</w:t>
      </w:r>
      <w:r>
        <w:t xml:space="preserve"> </w:t>
      </w:r>
      <w:r>
        <w:t xml:space="preserve">written notice; Work Orders already in progress continue to completion unless the Parties agree otherwise in writing.</w:t>
      </w:r>
    </w:p>
    <w:p>
      <w:pPr>
        <w:numPr>
          <w:ilvl w:val="0"/>
          <w:numId w:val="1019"/>
        </w:numPr>
        <w:pStyle w:val="Compact"/>
      </w:pPr>
      <w:r>
        <w:t xml:space="preserve">Either Party may terminate immediately for a material breach that is not remedied within</w:t>
      </w:r>
      <w:r>
        <w:t xml:space="preserve"> </w:t>
      </w:r>
      <w:r>
        <w:rPr>
          <w:b/>
        </w:rPr>
        <w:t xml:space="preserve">thirty (30) days</w:t>
      </w:r>
      <w:r>
        <w:t xml:space="preserve"> </w:t>
      </w:r>
      <w:r>
        <w:t xml:space="preserve">of written notice describing it.</w:t>
      </w:r>
    </w:p>
    <w:p>
      <w:pPr>
        <w:numPr>
          <w:ilvl w:val="0"/>
          <w:numId w:val="1019"/>
        </w:numPr>
        <w:pStyle w:val="Compact"/>
      </w:pPr>
      <w:r>
        <w:t xml:space="preserve">Either Party may terminate immediately if the other becomes insolvent, enters liquidation, or ceases to carry on business.</w:t>
      </w:r>
    </w:p>
    <w:p>
      <w:pPr>
        <w:numPr>
          <w:ilvl w:val="0"/>
          <w:numId w:val="1020"/>
        </w:numPr>
        <w:pStyle w:val="Compact"/>
      </w:pPr>
      <w:r>
        <w:t xml:space="preserve">يجوز لأي من الطرفين إنهاء هذه الاتفاقية بإرادته المنفردة بإخطار خطي مدته</w:t>
      </w:r>
      <w:r>
        <w:t xml:space="preserve"> </w:t>
      </w:r>
      <w:r>
        <w:rPr>
          <w:b/>
        </w:rPr>
        <w:t xml:space="preserve">ثلاثون (30) يوماً</w:t>
      </w:r>
      <w:r>
        <w:t xml:space="preserve">، وتستمر أوامر العمل الجارية حتى إتمامها ما لم يتفق الطرفان خطياً على خلاف ذلك.</w:t>
      </w:r>
    </w:p>
    <w:p>
      <w:pPr>
        <w:numPr>
          <w:ilvl w:val="0"/>
          <w:numId w:val="1020"/>
        </w:numPr>
        <w:pStyle w:val="Compact"/>
      </w:pPr>
      <w:r>
        <w:t xml:space="preserve">يجوز لأي من الطرفين الإنهاء فوراً عند إخلال جوهري لم يُعالَج خلال</w:t>
      </w:r>
      <w:r>
        <w:t xml:space="preserve"> </w:t>
      </w:r>
      <w:r>
        <w:rPr>
          <w:b/>
        </w:rPr>
        <w:t xml:space="preserve">ثلاثين (30) يوماً</w:t>
      </w:r>
      <w:r>
        <w:t xml:space="preserve"> </w:t>
      </w:r>
      <w:r>
        <w:t xml:space="preserve">من الإخطار الخطي الذي يبيّنه.</w:t>
      </w:r>
    </w:p>
    <w:p>
      <w:pPr>
        <w:numPr>
          <w:ilvl w:val="0"/>
          <w:numId w:val="1020"/>
        </w:numPr>
        <w:pStyle w:val="Compact"/>
      </w:pPr>
      <w:r>
        <w:t xml:space="preserve">يجوز لأي من الطرفين الإنهاء فوراً إذا أصبح الطرف الآخر معسراً أو دخل في التصفية أو توقف عن مزاولة نشاطه.</w:t>
      </w:r>
    </w:p>
    <w:p>
      <w:pPr>
        <w:pStyle w:val="Heading3"/>
      </w:pPr>
      <w:bookmarkStart w:id="70" w:name="effect-of-termination"/>
      <w:r>
        <w:t xml:space="preserve">Effect of termination</w:t>
      </w:r>
      <w:bookmarkEnd w:id="70"/>
    </w:p>
    <w:p>
      <w:pPr>
        <w:pStyle w:val="Heading3"/>
      </w:pPr>
      <w:bookmarkStart w:id="71" w:name="آثار-الإنهاء"/>
      <w:r>
        <w:t xml:space="preserve">آثار الإنهاء</w:t>
      </w:r>
      <w:bookmarkEnd w:id="71"/>
    </w:p>
    <w:p>
      <w:pPr>
        <w:pStyle w:val="FirstParagraph"/>
      </w:pPr>
      <w:r>
        <w:t xml:space="preserve">On termination the Client pays for all Services performed and Deliverables provided up to the effective date of termination, together with any committed third-party cost properly incurred. The Service Provider hands over the Client’s data and the Deliverables paid for. Clauses 8, 9, 11 and 13 survive termination.</w:t>
      </w:r>
    </w:p>
    <w:p>
      <w:pPr>
        <w:pStyle w:val="BodyText"/>
      </w:pPr>
      <w:r>
        <w:t xml:space="preserve">عند الإنهاء يسدد العميل قيمة جميع الخدمات المنفَّذة والمخرجات المسلَّمة حتى تاريخ نفاذ الإنهاء، إضافة إلى أي تكاليف ملتزَم بها لأطراف ثالثة أُنفقت بصورة سليمة. ويسلّم مزود الخدمة بيانات العميل والمخرجات المسدَّدة قيمتها. وتظل البنود (8) و(9) و(11) و(13) نافذة بعد الإنهاء.</w:t>
      </w:r>
    </w:p>
    <w:p>
      <w:pPr>
        <w:pStyle w:val="Heading2"/>
      </w:pPr>
      <w:bookmarkStart w:id="72" w:name="notices-general-provisions-governing-law"/>
      <w:r>
        <w:t xml:space="preserve">13. Notices, General Provisions &amp; Governing Law</w:t>
      </w:r>
      <w:bookmarkEnd w:id="72"/>
    </w:p>
    <w:p>
      <w:pPr>
        <w:pStyle w:val="Heading2"/>
      </w:pPr>
      <w:bookmarkStart w:id="73" w:name="Xc19e60bb32aab76d0c8c43f469be537f67aee5b"/>
      <w:r>
        <w:t xml:space="preserve">13. المراسلات والأحكام العامة والقانون الحاكم</w:t>
      </w:r>
      <w:bookmarkEnd w:id="73"/>
    </w:p>
    <w:p>
      <w:pPr>
        <w:pStyle w:val="Heading3"/>
      </w:pPr>
      <w:bookmarkStart w:id="74" w:name="notices"/>
      <w:r>
        <w:t xml:space="preserve">Notices</w:t>
      </w:r>
      <w:bookmarkEnd w:id="74"/>
    </w:p>
    <w:p>
      <w:pPr>
        <w:pStyle w:val="Heading3"/>
      </w:pPr>
      <w:bookmarkStart w:id="75" w:name="المراسلات"/>
      <w:r>
        <w:t xml:space="preserve">المراسلات</w:t>
      </w:r>
      <w:bookmarkEnd w:id="75"/>
    </w:p>
    <w:p>
      <w:pPr>
        <w:pStyle w:val="FirstParagraph"/>
      </w:pPr>
      <w:r>
        <w:t xml:space="preserve">Notices are given in writing to the registered office of the receiving Party stated in Clause 1, with a copy by email to that Party’s official address. A notice is deemed received on the next Business Day after delivery or transmission.</w:t>
      </w:r>
    </w:p>
    <w:p>
      <w:pPr>
        <w:pStyle w:val="BodyText"/>
      </w:pPr>
      <w:r>
        <w:t xml:space="preserve">تُوجَّه المراسلات كتابةً إلى المقر المسجّل للطرف المُرسَل إليه المبيّن في البند (1)، مع نسخة بالبريد الإلكتروني إلى عنوانه الرسمي. ويُعدّ الإخطار مستلماً في يوم العمل التالي لتسليمه أو إرساله.</w:t>
      </w:r>
    </w:p>
    <w:p>
      <w:pPr>
        <w:pStyle w:val="Heading3"/>
      </w:pPr>
      <w:bookmarkStart w:id="76" w:name="general-provisions"/>
      <w:r>
        <w:t xml:space="preserve">General provisions</w:t>
      </w:r>
      <w:bookmarkEnd w:id="76"/>
    </w:p>
    <w:p>
      <w:pPr>
        <w:pStyle w:val="Heading3"/>
      </w:pPr>
      <w:bookmarkStart w:id="77" w:name="أحكام-عامة"/>
      <w:r>
        <w:t xml:space="preserve">أحكام عامة</w:t>
      </w:r>
      <w:bookmarkEnd w:id="77"/>
    </w:p>
    <w:p>
      <w:pPr>
        <w:numPr>
          <w:ilvl w:val="0"/>
          <w:numId w:val="1021"/>
        </w:numPr>
        <w:pStyle w:val="Compact"/>
      </w:pPr>
      <w:r>
        <w:t xml:space="preserve">This Agreement, its Annexes and the signed Work Orders are the entire agreement between the Parties on their subject matter and supersede all prior discussions and proposals.</w:t>
      </w:r>
    </w:p>
    <w:p>
      <w:pPr>
        <w:numPr>
          <w:ilvl w:val="0"/>
          <w:numId w:val="1021"/>
        </w:numPr>
        <w:pStyle w:val="Compact"/>
      </w:pPr>
      <w:r>
        <w:t xml:space="preserve">No amendment is effective unless made in writing and signed by both Parties.</w:t>
      </w:r>
    </w:p>
    <w:p>
      <w:pPr>
        <w:numPr>
          <w:ilvl w:val="0"/>
          <w:numId w:val="1021"/>
        </w:numPr>
        <w:pStyle w:val="Compact"/>
      </w:pPr>
      <w:r>
        <w:t xml:space="preserve">Failure to enforce a right is not a waiver of it, and an invalid provision is replaced by the nearest valid one while the rest of the Agreement stands.</w:t>
      </w:r>
    </w:p>
    <w:p>
      <w:pPr>
        <w:numPr>
          <w:ilvl w:val="0"/>
          <w:numId w:val="1021"/>
        </w:numPr>
        <w:pStyle w:val="Compact"/>
      </w:pPr>
      <w:r>
        <w:t xml:space="preserve">Neither Party may assign this Agreement without the other’s prior written consent.</w:t>
      </w:r>
    </w:p>
    <w:p>
      <w:pPr>
        <w:numPr>
          <w:ilvl w:val="0"/>
          <w:numId w:val="1021"/>
        </w:numPr>
        <w:pStyle w:val="Compact"/>
      </w:pPr>
      <w:r>
        <w:t xml:space="preserve">The Service Provider acts as an independent contractor; nothing in this Agreement creates a partnership, agency or employment relationship.</w:t>
      </w:r>
    </w:p>
    <w:p>
      <w:pPr>
        <w:numPr>
          <w:ilvl w:val="0"/>
          <w:numId w:val="1022"/>
        </w:numPr>
        <w:pStyle w:val="Compact"/>
      </w:pPr>
      <w:r>
        <w:t xml:space="preserve">تمثّل هذه الاتفاقية وملاحقها وأوامر العمل الموقّعة كامل الاتفاق بين الطرفين في موضوعها وتحلّ محل كل ما سبقها من مناقشات وعروض.</w:t>
      </w:r>
    </w:p>
    <w:p>
      <w:pPr>
        <w:numPr>
          <w:ilvl w:val="0"/>
          <w:numId w:val="1022"/>
        </w:numPr>
        <w:pStyle w:val="Compact"/>
      </w:pPr>
      <w:r>
        <w:t xml:space="preserve">لا يسري أي تعديل ما لم يكن مكتوباً وموقّعاً من الطرفين.</w:t>
      </w:r>
    </w:p>
    <w:p>
      <w:pPr>
        <w:numPr>
          <w:ilvl w:val="0"/>
          <w:numId w:val="1022"/>
        </w:numPr>
        <w:pStyle w:val="Compact"/>
      </w:pPr>
      <w:r>
        <w:t xml:space="preserve">لا يُعدّ التأخر في استعمال أي حق تنازلاً عنه، ويُستبدل أي بند باطل بأقرب بند صحيح إليه مع بقاء باقي الاتفاقية نافذاً.</w:t>
      </w:r>
    </w:p>
    <w:p>
      <w:pPr>
        <w:numPr>
          <w:ilvl w:val="0"/>
          <w:numId w:val="1022"/>
        </w:numPr>
        <w:pStyle w:val="Compact"/>
      </w:pPr>
      <w:r>
        <w:t xml:space="preserve">لا يجوز لأي طرف التنازل عن هذه الاتفاقية دون موافقة خطية مسبقة من الطرف الآخر.</w:t>
      </w:r>
    </w:p>
    <w:p>
      <w:pPr>
        <w:numPr>
          <w:ilvl w:val="0"/>
          <w:numId w:val="1022"/>
        </w:numPr>
        <w:pStyle w:val="Compact"/>
      </w:pPr>
      <w:r>
        <w:t xml:space="preserve">يتعاقد مزود الخدمة بصفته متعاقداً مستقلاً، ولا تنشئ هذه الاتفاقية أي علاقة شراكة أو وكالة أو استخدام.</w:t>
      </w:r>
    </w:p>
    <w:p>
      <w:pPr>
        <w:pStyle w:val="Heading3"/>
      </w:pPr>
      <w:bookmarkStart w:id="78" w:name="governing-law-disputes-and-language"/>
      <w:r>
        <w:t xml:space="preserve">Governing law, disputes and language</w:t>
      </w:r>
      <w:bookmarkEnd w:id="78"/>
    </w:p>
    <w:p>
      <w:pPr>
        <w:pStyle w:val="Heading3"/>
      </w:pPr>
      <w:bookmarkStart w:id="79" w:name="القانون-الحاكم-والنزاعات-واللغة"/>
      <w:r>
        <w:t xml:space="preserve">القانون الحاكم والنزاعات واللغة</w:t>
      </w:r>
      <w:bookmarkEnd w:id="79"/>
    </w:p>
    <w:p>
      <w:pPr>
        <w:pStyle w:val="FirstParagraph"/>
      </w:pPr>
      <w:r>
        <w:rPr>
          <w:b/>
        </w:rPr>
        <w:t xml:space="preserve">Important —</w:t>
      </w:r>
      <w:r>
        <w:t xml:space="preserve"> </w:t>
      </w:r>
      <w:r>
        <w:t xml:space="preserve">This Agreement is governed by the laws of the</w:t>
      </w:r>
      <w:r>
        <w:t xml:space="preserve"> </w:t>
      </w:r>
      <w:r>
        <w:rPr>
          <w:b/>
        </w:rPr>
        <w:t xml:space="preserve">State of Kuwait</w:t>
      </w:r>
      <w:r>
        <w:t xml:space="preserve">. The Parties first seek an amicable settlement within thirty (30) days of a written notice of dispute; failing that, the competent courts of Kuwait have exclusive jurisdiction. The Agreement is executed in English and Arabic, and</w:t>
      </w:r>
      <w:r>
        <w:t xml:space="preserve"> </w:t>
      </w:r>
      <w:r>
        <w:rPr>
          <w:b/>
        </w:rPr>
        <w:t xml:space="preserve">in case of any discrepancy the Arabic text prevails</w:t>
      </w:r>
      <w:r>
        <w:t xml:space="preserve">.</w:t>
      </w:r>
    </w:p>
    <w:p>
      <w:pPr>
        <w:pStyle w:val="BodyText"/>
      </w:pPr>
      <w:r>
        <w:rPr>
          <w:b/>
        </w:rPr>
        <w:t xml:space="preserve">هام —</w:t>
      </w:r>
      <w:r>
        <w:t xml:space="preserve"> </w:t>
      </w:r>
      <w:r>
        <w:t xml:space="preserve">تخضع هذه الاتفاقية لقوانين</w:t>
      </w:r>
      <w:r>
        <w:t xml:space="preserve"> </w:t>
      </w:r>
      <w:r>
        <w:rPr>
          <w:b/>
        </w:rPr>
        <w:t xml:space="preserve">دولة الكويت</w:t>
      </w:r>
      <w:r>
        <w:t xml:space="preserve">. ويسعى الطرفان أولاً إلى تسوية ودّية خلال ثلاثين (30) يوماً من الإخطار الخطي بالنزاع، وإلا اختصت المحاكم الكويتية المختصة دون غيرها. وقد حُرِّرت الاتفاقية باللغتين الإنجليزية والعربية، و</w:t>
      </w:r>
      <w:r>
        <w:rPr>
          <w:b/>
        </w:rPr>
        <w:t xml:space="preserve">عند أي اختلاف يُعتد بالنص العربي</w:t>
      </w:r>
      <w:r>
        <w:t xml:space="preserve">.</w:t>
      </w:r>
    </w:p>
    <w:p>
      <w:pPr>
        <w:pStyle w:val="Heading2"/>
      </w:pPr>
      <w:bookmarkStart w:id="80" w:name="acceptance-signatures"/>
      <w:r>
        <w:t xml:space="preserve">14. Acceptance &amp; Signatures</w:t>
      </w:r>
      <w:bookmarkEnd w:id="80"/>
    </w:p>
    <w:p>
      <w:pPr>
        <w:pStyle w:val="Heading2"/>
      </w:pPr>
      <w:bookmarkStart w:id="81" w:name="القبول-والتوقيع"/>
      <w:r>
        <w:t xml:space="preserve">14. القبول والتوقيع</w:t>
      </w:r>
      <w:bookmarkEnd w:id="81"/>
    </w:p>
    <w:p>
      <w:pPr>
        <w:pStyle w:val="FirstParagraph"/>
      </w:pPr>
      <w:r>
        <w:t xml:space="preserve">By signing below, the Parties confirm that they have read, understood and accepted this Agreement together with its Annexes, that the signatories are duly authorised to bind their respective companies, and that the Agreement is executed in two bilingual originals — one for each Party.</w:t>
      </w:r>
    </w:p>
    <w:p>
      <w:pPr>
        <w:pStyle w:val="BodyText"/>
      </w:pPr>
      <w:r>
        <w:t xml:space="preserve">بالتوقيع أدناه، يقرّ الطرفان بأنهما قرآ هذه الاتفاقية وملاحقها وفهماها وقبلاها، وبأن الموقّعَين مفوّضان حسب الأصول بإلزام شركتيهما، وبأن الاتفاقية حُرِّرت من نسختين أصليتين ثنائيتي اللغة، لكل طرف نسخة.</w:t>
      </w:r>
    </w:p>
    <w:tbl>
      <w:tblPr>
        <w:tblStyle w:val="Table"/>
        <w:tblW w:type="pct" w:w="0.0"/>
        <w:tblLook w:firstRow="1"/>
      </w:tblPr>
      <w:tblGrid/>
      <w:tr>
        <w:trPr>
          <w:cnfStyle w:firstRow="1"/>
        </w:trPr>
        <w:tc>
          <w:tcPr>
            <w:tcBorders>
              <w:bottom w:val="single"/>
            </w:tcBorders>
            <w:vAlign w:val="bottom"/>
          </w:tcPr>
          <w:p>
            <w:pPr>
              <w:pStyle w:val="Compact"/>
              <w:jc w:val="left"/>
            </w:pPr>
            <w:r>
              <w:t xml:space="preserve">For Dexor Integrated Computer Solutions Co. W.L.L. (Service Provider)</w:t>
            </w:r>
          </w:p>
        </w:tc>
        <w:tc>
          <w:tcPr>
            <w:tcBorders>
              <w:bottom w:val="single"/>
            </w:tcBorders>
            <w:vAlign w:val="bottom"/>
          </w:tcPr>
          <w:p>
            <w:pPr>
              <w:pStyle w:val="Compact"/>
              <w:jc w:val="left"/>
            </w:pPr>
            <w:r>
              <w:t xml:space="preserve">For Benaa Base Company (Client)</w:t>
            </w:r>
          </w:p>
        </w:tc>
      </w:tr>
      <w:tr>
        <w:tc>
          <w:p>
            <w:pPr>
              <w:pStyle w:val="Compact"/>
              <w:jc w:val="left"/>
            </w:pPr>
            <w:r>
              <w:t xml:space="preserve">Signature: _____________________</w:t>
            </w:r>
          </w:p>
        </w:tc>
        <w:tc>
          <w:p>
            <w:pPr>
              <w:pStyle w:val="Compact"/>
              <w:jc w:val="left"/>
            </w:pPr>
            <w:r>
              <w:t xml:space="preserve">Signature: _____________________</w:t>
            </w:r>
          </w:p>
        </w:tc>
      </w:tr>
      <w:tr>
        <w:tc>
          <w:p>
            <w:pPr>
              <w:pStyle w:val="Compact"/>
              <w:jc w:val="left"/>
            </w:pPr>
            <w:r>
              <w:t xml:space="preserve">Name: _____________________</w:t>
            </w:r>
          </w:p>
        </w:tc>
        <w:tc>
          <w:p>
            <w:pPr>
              <w:pStyle w:val="Compact"/>
              <w:jc w:val="left"/>
            </w:pPr>
            <w:r>
              <w:t xml:space="preserve">Name: Mr. Nawaf Al Enezi</w:t>
            </w:r>
          </w:p>
        </w:tc>
      </w:tr>
      <w:tr>
        <w:tc>
          <w:p>
            <w:pPr>
              <w:pStyle w:val="Compact"/>
              <w:jc w:val="left"/>
            </w:pPr>
            <w:r>
              <w:t xml:space="preserve">Position: _____________________</w:t>
            </w:r>
          </w:p>
        </w:tc>
        <w:tc>
          <w:p>
            <w:pPr>
              <w:pStyle w:val="Compact"/>
              <w:jc w:val="left"/>
            </w:pPr>
            <w:r>
              <w:t xml:space="preserve">Position: _____________________</w:t>
            </w:r>
          </w:p>
        </w:tc>
      </w:tr>
      <w:tr>
        <w:tc>
          <w:p>
            <w:pPr>
              <w:pStyle w:val="Compact"/>
              <w:jc w:val="left"/>
            </w:pPr>
            <w:r>
              <w:t xml:space="preserve">Date: ___ / ___ / ______</w:t>
            </w:r>
          </w:p>
        </w:tc>
        <w:tc>
          <w:p>
            <w:pPr>
              <w:pStyle w:val="Compact"/>
              <w:jc w:val="left"/>
            </w:pPr>
            <w:r>
              <w:t xml:space="preserve">Date: ___ / ___ / ______</w:t>
            </w:r>
          </w:p>
        </w:tc>
      </w:tr>
      <w:tr>
        <w:tc>
          <w:p>
            <w:pPr>
              <w:pStyle w:val="Compact"/>
              <w:jc w:val="left"/>
            </w:pPr>
            <w:r>
              <w:t xml:space="preserve">Company stamp: _____________________</w:t>
            </w:r>
          </w:p>
        </w:tc>
        <w:tc>
          <w:p>
            <w:pPr>
              <w:pStyle w:val="Compact"/>
              <w:jc w:val="left"/>
            </w:pPr>
            <w:r>
              <w:t xml:space="preserve">Company stamp: _____________________</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عن شركة ديكسور للحلول المتكاملة الحاسوبية ذ.م.م (مزود الخدمة)</w:t>
            </w:r>
          </w:p>
        </w:tc>
        <w:tc>
          <w:tcPr>
            <w:tcBorders>
              <w:bottom w:val="single"/>
            </w:tcBorders>
            <w:vAlign w:val="bottom"/>
          </w:tcPr>
          <w:p>
            <w:pPr>
              <w:pStyle w:val="Compact"/>
              <w:jc w:val="left"/>
            </w:pPr>
            <w:r>
              <w:t xml:space="preserve">عن شركة بناء بيز (العميل)</w:t>
            </w:r>
          </w:p>
        </w:tc>
      </w:tr>
      <w:tr>
        <w:tc>
          <w:p>
            <w:pPr>
              <w:pStyle w:val="Compact"/>
              <w:jc w:val="left"/>
            </w:pPr>
            <w:r>
              <w:t xml:space="preserve">التوقيع: _____________________</w:t>
            </w:r>
          </w:p>
        </w:tc>
        <w:tc>
          <w:p>
            <w:pPr>
              <w:pStyle w:val="Compact"/>
              <w:jc w:val="left"/>
            </w:pPr>
            <w:r>
              <w:t xml:space="preserve">التوقيع: _____________________</w:t>
            </w:r>
          </w:p>
        </w:tc>
      </w:tr>
      <w:tr>
        <w:tc>
          <w:p>
            <w:pPr>
              <w:pStyle w:val="Compact"/>
              <w:jc w:val="left"/>
            </w:pPr>
            <w:r>
              <w:t xml:space="preserve">الاسم: _____________________</w:t>
            </w:r>
          </w:p>
        </w:tc>
        <w:tc>
          <w:p>
            <w:pPr>
              <w:pStyle w:val="Compact"/>
              <w:jc w:val="left"/>
            </w:pPr>
            <w:r>
              <w:t xml:space="preserve">الاسم: السيد / نواف العنزي</w:t>
            </w:r>
          </w:p>
        </w:tc>
      </w:tr>
      <w:tr>
        <w:tc>
          <w:p>
            <w:pPr>
              <w:pStyle w:val="Compact"/>
              <w:jc w:val="left"/>
            </w:pPr>
            <w:r>
              <w:t xml:space="preserve">المنصب: _____________________</w:t>
            </w:r>
          </w:p>
        </w:tc>
        <w:tc>
          <w:p>
            <w:pPr>
              <w:pStyle w:val="Compact"/>
              <w:jc w:val="left"/>
            </w:pPr>
            <w:r>
              <w:t xml:space="preserve">المنصب: _____________________</w:t>
            </w:r>
          </w:p>
        </w:tc>
      </w:tr>
      <w:tr>
        <w:tc>
          <w:p>
            <w:pPr>
              <w:pStyle w:val="Compact"/>
              <w:jc w:val="left"/>
            </w:pPr>
            <w:r>
              <w:t xml:space="preserve">التاريخ: ___ / ___ / ______</w:t>
            </w:r>
          </w:p>
        </w:tc>
        <w:tc>
          <w:p>
            <w:pPr>
              <w:pStyle w:val="Compact"/>
              <w:jc w:val="left"/>
            </w:pPr>
            <w:r>
              <w:t xml:space="preserve">التاريخ: ___ / ___ / ______</w:t>
            </w:r>
          </w:p>
        </w:tc>
      </w:tr>
      <w:tr>
        <w:tc>
          <w:p>
            <w:pPr>
              <w:pStyle w:val="Compact"/>
              <w:jc w:val="left"/>
            </w:pPr>
            <w:r>
              <w:t xml:space="preserve">ختم الشركة: _____________________</w:t>
            </w:r>
          </w:p>
        </w:tc>
        <w:tc>
          <w:p>
            <w:pPr>
              <w:pStyle w:val="Compact"/>
              <w:jc w:val="left"/>
            </w:pPr>
            <w:r>
              <w:t xml:space="preserve">ختم الشركة: _____________________</w:t>
            </w:r>
          </w:p>
        </w:tc>
      </w:tr>
    </w:tbl>
    <w:p>
      <w:pPr>
        <w:pStyle w:val="Heading2"/>
      </w:pPr>
      <w:bookmarkStart w:id="82" w:name="annex-a-scope-schedule-work-order"/>
      <w:r>
        <w:t xml:space="preserve">Annex A — Scope Schedule (Work Order)</w:t>
      </w:r>
      <w:bookmarkEnd w:id="82"/>
    </w:p>
    <w:p>
      <w:pPr>
        <w:pStyle w:val="Heading2"/>
      </w:pPr>
      <w:bookmarkStart w:id="83" w:name="الملحق-أ-جدول-النطاق-أمر-العمل"/>
      <w:r>
        <w:t xml:space="preserve">الملحق (أ) — جدول النطاق (أمر العمل)</w:t>
      </w:r>
      <w:bookmarkEnd w:id="83"/>
    </w:p>
    <w:p>
      <w:pPr>
        <w:pStyle w:val="FirstParagraph"/>
      </w:pPr>
      <w:r>
        <w:t xml:space="preserve">This Annex is completed and signed for each package of Services commissioned under Clause 4. Once signed it forms an integral part of this Agreement.</w:t>
      </w:r>
    </w:p>
    <w:p>
      <w:pPr>
        <w:pStyle w:val="BodyText"/>
      </w:pPr>
      <w:r>
        <w:t xml:space="preserve">يُستكمل هذا الملحق ويُوقَّع لكل حزمة خدمات تُطلب بموجب البند (4)، ويصبح بعد توقيعه جزءاً لا يتجزأ من هذه الاتفاقية.</w:t>
      </w:r>
    </w:p>
    <w:tbl>
      <w:tblPr>
        <w:tblStyle w:val="Table"/>
        <w:tblW w:type="pct" w:w="0.0"/>
        <w:tblLook w:firstRow="1"/>
      </w:tblPr>
      <w:tblGrid/>
      <w:tr>
        <w:trPr>
          <w:cnfStyle w:firstRow="1"/>
        </w:trPr>
        <w:tc>
          <w:tcPr>
            <w:tcBorders>
              <w:bottom w:val="single"/>
            </w:tcBorders>
            <w:vAlign w:val="bottom"/>
          </w:tcPr>
          <w:p>
            <w:pPr>
              <w:pStyle w:val="Compact"/>
              <w:jc w:val="left"/>
            </w:pPr>
            <w:r>
              <w:t xml:space="preserve">Particular</w:t>
            </w:r>
          </w:p>
        </w:tc>
        <w:tc>
          <w:tcPr>
            <w:tcBorders>
              <w:bottom w:val="single"/>
            </w:tcBorders>
            <w:vAlign w:val="bottom"/>
          </w:tcPr>
          <w:p>
            <w:pPr>
              <w:pStyle w:val="Compact"/>
              <w:jc w:val="left"/>
            </w:pPr>
            <w:r>
              <w:t xml:space="preserve">Details</w:t>
            </w:r>
          </w:p>
        </w:tc>
      </w:tr>
      <w:tr>
        <w:tc>
          <w:p>
            <w:pPr>
              <w:pStyle w:val="Compact"/>
              <w:jc w:val="left"/>
            </w:pPr>
            <w:r>
              <w:rPr>
                <w:b/>
              </w:rPr>
              <w:t xml:space="preserve">Work Order reference</w:t>
            </w:r>
          </w:p>
        </w:tc>
        <w:tc>
          <w:p>
            <w:pPr>
              <w:pStyle w:val="Compact"/>
              <w:jc w:val="left"/>
            </w:pPr>
            <w:r>
              <w:t xml:space="preserve">_____________________</w:t>
            </w:r>
          </w:p>
        </w:tc>
      </w:tr>
      <w:tr>
        <w:tc>
          <w:p>
            <w:pPr>
              <w:pStyle w:val="Compact"/>
              <w:jc w:val="left"/>
            </w:pPr>
            <w:r>
              <w:rPr>
                <w:b/>
              </w:rPr>
              <w:t xml:space="preserve">Description of Services</w:t>
            </w:r>
          </w:p>
        </w:tc>
        <w:tc>
          <w:p>
            <w:pPr>
              <w:pStyle w:val="Compact"/>
              <w:jc w:val="left"/>
            </w:pPr>
            <w:r>
              <w:t xml:space="preserve">_____________________</w:t>
            </w:r>
          </w:p>
        </w:tc>
      </w:tr>
      <w:tr>
        <w:tc>
          <w:p>
            <w:pPr>
              <w:pStyle w:val="Compact"/>
              <w:jc w:val="left"/>
            </w:pPr>
            <w:r>
              <w:rPr>
                <w:b/>
              </w:rPr>
              <w:t xml:space="preserve">Key Deliverables</w:t>
            </w:r>
          </w:p>
        </w:tc>
        <w:tc>
          <w:p>
            <w:pPr>
              <w:pStyle w:val="Compact"/>
              <w:jc w:val="left"/>
            </w:pPr>
            <w:r>
              <w:t xml:space="preserve">_____________________</w:t>
            </w:r>
          </w:p>
        </w:tc>
      </w:tr>
      <w:tr>
        <w:tc>
          <w:p>
            <w:pPr>
              <w:pStyle w:val="Compact"/>
              <w:jc w:val="left"/>
            </w:pPr>
            <w:r>
              <w:rPr>
                <w:b/>
              </w:rPr>
              <w:t xml:space="preserve">Acceptance criteria</w:t>
            </w:r>
          </w:p>
        </w:tc>
        <w:tc>
          <w:p>
            <w:pPr>
              <w:pStyle w:val="Compact"/>
              <w:jc w:val="left"/>
            </w:pPr>
            <w:r>
              <w:t xml:space="preserve">_____________________</w:t>
            </w:r>
          </w:p>
        </w:tc>
      </w:tr>
      <w:tr>
        <w:tc>
          <w:p>
            <w:pPr>
              <w:pStyle w:val="Compact"/>
              <w:jc w:val="left"/>
            </w:pPr>
            <w:r>
              <w:rPr>
                <w:b/>
              </w:rPr>
              <w:t xml:space="preserve">Kick-off date</w:t>
            </w:r>
          </w:p>
        </w:tc>
        <w:tc>
          <w:p>
            <w:pPr>
              <w:pStyle w:val="Compact"/>
              <w:jc w:val="left"/>
            </w:pPr>
            <w:r>
              <w:t xml:space="preserve">___ / ___ / ______</w:t>
            </w:r>
          </w:p>
        </w:tc>
      </w:tr>
      <w:tr>
        <w:tc>
          <w:p>
            <w:pPr>
              <w:pStyle w:val="Compact"/>
              <w:jc w:val="left"/>
            </w:pPr>
            <w:r>
              <w:rPr>
                <w:b/>
              </w:rPr>
              <w:t xml:space="preserve">Delivery date</w:t>
            </w:r>
          </w:p>
        </w:tc>
        <w:tc>
          <w:p>
            <w:pPr>
              <w:pStyle w:val="Compact"/>
              <w:jc w:val="left"/>
            </w:pPr>
            <w:r>
              <w:t xml:space="preserve">___ / ___ / ______</w:t>
            </w:r>
          </w:p>
        </w:tc>
      </w:tr>
      <w:tr>
        <w:tc>
          <w:p>
            <w:pPr>
              <w:pStyle w:val="Compact"/>
              <w:jc w:val="left"/>
            </w:pPr>
            <w:r>
              <w:rPr>
                <w:b/>
              </w:rPr>
              <w:t xml:space="preserve">Value (KWD)</w:t>
            </w:r>
          </w:p>
        </w:tc>
        <w:tc>
          <w:p>
            <w:pPr>
              <w:pStyle w:val="Compact"/>
              <w:jc w:val="left"/>
            </w:pPr>
            <w:r>
              <w:t xml:space="preserve">_____________________</w:t>
            </w:r>
          </w:p>
        </w:tc>
      </w:tr>
      <w:tr>
        <w:tc>
          <w:p>
            <w:pPr>
              <w:pStyle w:val="Compact"/>
              <w:jc w:val="left"/>
            </w:pPr>
            <w:r>
              <w:rPr>
                <w:b/>
              </w:rPr>
              <w:t xml:space="preserve">Payment</w:t>
            </w:r>
          </w:p>
        </w:tc>
        <w:tc>
          <w:p>
            <w:pPr>
              <w:pStyle w:val="Compact"/>
              <w:jc w:val="left"/>
            </w:pPr>
            <w:r>
              <w:t xml:space="preserve">50% on signing · 50% on delivery and Acceptance</w:t>
            </w:r>
          </w:p>
        </w:tc>
      </w:tr>
      <w:tr>
        <w:tc>
          <w:p>
            <w:pPr>
              <w:pStyle w:val="Compact"/>
              <w:jc w:val="left"/>
            </w:pPr>
            <w:r>
              <w:rPr>
                <w:b/>
              </w:rPr>
              <w:t xml:space="preserve">Hourly rate for additional work (KWD)</w:t>
            </w:r>
          </w:p>
        </w:tc>
        <w:tc>
          <w:p>
            <w:pPr>
              <w:pStyle w:val="Compact"/>
              <w:jc w:val="left"/>
            </w:pPr>
            <w:r>
              <w:t xml:space="preserve">_____________________</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البيان</w:t>
            </w:r>
          </w:p>
        </w:tc>
        <w:tc>
          <w:tcPr>
            <w:tcBorders>
              <w:bottom w:val="single"/>
            </w:tcBorders>
            <w:vAlign w:val="bottom"/>
          </w:tcPr>
          <w:p>
            <w:pPr>
              <w:pStyle w:val="Compact"/>
              <w:jc w:val="left"/>
            </w:pPr>
            <w:r>
              <w:t xml:space="preserve">التفاصيل</w:t>
            </w:r>
          </w:p>
        </w:tc>
      </w:tr>
      <w:tr>
        <w:tc>
          <w:p>
            <w:pPr>
              <w:pStyle w:val="Compact"/>
              <w:jc w:val="left"/>
            </w:pPr>
            <w:r>
              <w:rPr>
                <w:b/>
              </w:rPr>
              <w:t xml:space="preserve">مرجع أمر العمل</w:t>
            </w:r>
          </w:p>
        </w:tc>
        <w:tc>
          <w:p>
            <w:pPr>
              <w:pStyle w:val="Compact"/>
              <w:jc w:val="left"/>
            </w:pPr>
            <w:r>
              <w:t xml:space="preserve">_____________________</w:t>
            </w:r>
          </w:p>
        </w:tc>
      </w:tr>
      <w:tr>
        <w:tc>
          <w:p>
            <w:pPr>
              <w:pStyle w:val="Compact"/>
              <w:jc w:val="left"/>
            </w:pPr>
            <w:r>
              <w:rPr>
                <w:b/>
              </w:rPr>
              <w:t xml:space="preserve">وصف الخدمات</w:t>
            </w:r>
          </w:p>
        </w:tc>
        <w:tc>
          <w:p>
            <w:pPr>
              <w:pStyle w:val="Compact"/>
              <w:jc w:val="left"/>
            </w:pPr>
            <w:r>
              <w:t xml:space="preserve">_____________________</w:t>
            </w:r>
          </w:p>
        </w:tc>
      </w:tr>
      <w:tr>
        <w:tc>
          <w:p>
            <w:pPr>
              <w:pStyle w:val="Compact"/>
              <w:jc w:val="left"/>
            </w:pPr>
            <w:r>
              <w:rPr>
                <w:b/>
              </w:rPr>
              <w:t xml:space="preserve">المخرجات الرئيسية</w:t>
            </w:r>
          </w:p>
        </w:tc>
        <w:tc>
          <w:p>
            <w:pPr>
              <w:pStyle w:val="Compact"/>
              <w:jc w:val="left"/>
            </w:pPr>
            <w:r>
              <w:t xml:space="preserve">_____________________</w:t>
            </w:r>
          </w:p>
        </w:tc>
      </w:tr>
      <w:tr>
        <w:tc>
          <w:p>
            <w:pPr>
              <w:pStyle w:val="Compact"/>
              <w:jc w:val="left"/>
            </w:pPr>
            <w:r>
              <w:rPr>
                <w:b/>
              </w:rPr>
              <w:t xml:space="preserve">معايير القبول</w:t>
            </w:r>
          </w:p>
        </w:tc>
        <w:tc>
          <w:p>
            <w:pPr>
              <w:pStyle w:val="Compact"/>
              <w:jc w:val="left"/>
            </w:pPr>
            <w:r>
              <w:t xml:space="preserve">_____________________</w:t>
            </w:r>
          </w:p>
        </w:tc>
      </w:tr>
      <w:tr>
        <w:tc>
          <w:p>
            <w:pPr>
              <w:pStyle w:val="Compact"/>
              <w:jc w:val="left"/>
            </w:pPr>
            <w:r>
              <w:rPr>
                <w:b/>
              </w:rPr>
              <w:t xml:space="preserve">تاريخ انطلاق العمل</w:t>
            </w:r>
          </w:p>
        </w:tc>
        <w:tc>
          <w:p>
            <w:pPr>
              <w:pStyle w:val="Compact"/>
              <w:jc w:val="left"/>
            </w:pPr>
            <w:r>
              <w:t xml:space="preserve">___ / ___ / ______</w:t>
            </w:r>
          </w:p>
        </w:tc>
      </w:tr>
      <w:tr>
        <w:tc>
          <w:p>
            <w:pPr>
              <w:pStyle w:val="Compact"/>
              <w:jc w:val="left"/>
            </w:pPr>
            <w:r>
              <w:rPr>
                <w:b/>
              </w:rPr>
              <w:t xml:space="preserve">تاريخ التسليم</w:t>
            </w:r>
          </w:p>
        </w:tc>
        <w:tc>
          <w:p>
            <w:pPr>
              <w:pStyle w:val="Compact"/>
              <w:jc w:val="left"/>
            </w:pPr>
            <w:r>
              <w:t xml:space="preserve">___ / ___ / ______</w:t>
            </w:r>
          </w:p>
        </w:tc>
      </w:tr>
      <w:tr>
        <w:tc>
          <w:p>
            <w:pPr>
              <w:pStyle w:val="Compact"/>
              <w:jc w:val="left"/>
            </w:pPr>
            <w:r>
              <w:rPr>
                <w:b/>
              </w:rPr>
              <w:t xml:space="preserve">القيمة (د.ك)</w:t>
            </w:r>
          </w:p>
        </w:tc>
        <w:tc>
          <w:p>
            <w:pPr>
              <w:pStyle w:val="Compact"/>
              <w:jc w:val="left"/>
            </w:pPr>
            <w:r>
              <w:t xml:space="preserve">_____________________</w:t>
            </w:r>
          </w:p>
        </w:tc>
      </w:tr>
      <w:tr>
        <w:tc>
          <w:p>
            <w:pPr>
              <w:pStyle w:val="Compact"/>
              <w:jc w:val="left"/>
            </w:pPr>
            <w:r>
              <w:rPr>
                <w:b/>
              </w:rPr>
              <w:t xml:space="preserve">الدفعات</w:t>
            </w:r>
          </w:p>
        </w:tc>
        <w:tc>
          <w:p>
            <w:pPr>
              <w:pStyle w:val="Compact"/>
              <w:jc w:val="left"/>
            </w:pPr>
            <w:r>
              <w:t xml:space="preserve">50% عند التوقيع · 50% عند التسليم والقبول</w:t>
            </w:r>
          </w:p>
        </w:tc>
      </w:tr>
      <w:tr>
        <w:tc>
          <w:p>
            <w:pPr>
              <w:pStyle w:val="Compact"/>
              <w:jc w:val="left"/>
            </w:pPr>
            <w:r>
              <w:rPr>
                <w:b/>
              </w:rPr>
              <w:t xml:space="preserve">الأجر الساعي للأعمال الإضافية (د.ك)</w:t>
            </w:r>
          </w:p>
        </w:tc>
        <w:tc>
          <w:p>
            <w:pPr>
              <w:pStyle w:val="Compact"/>
              <w:jc w:val="left"/>
            </w:pPr>
            <w:r>
              <w:t xml:space="preserve">_____________________</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For the Service Provider</w:t>
            </w:r>
          </w:p>
        </w:tc>
        <w:tc>
          <w:tcPr>
            <w:tcBorders>
              <w:bottom w:val="single"/>
            </w:tcBorders>
            <w:vAlign w:val="bottom"/>
          </w:tcPr>
          <w:p>
            <w:pPr>
              <w:pStyle w:val="Compact"/>
              <w:jc w:val="left"/>
            </w:pPr>
            <w:r>
              <w:t xml:space="preserve">For the Client</w:t>
            </w:r>
          </w:p>
        </w:tc>
      </w:tr>
      <w:tr>
        <w:tc>
          <w:p>
            <w:pPr>
              <w:pStyle w:val="Compact"/>
              <w:jc w:val="left"/>
            </w:pPr>
            <w:r>
              <w:t xml:space="preserve">Signature: _____________________</w:t>
            </w:r>
          </w:p>
        </w:tc>
        <w:tc>
          <w:p>
            <w:pPr>
              <w:pStyle w:val="Compact"/>
              <w:jc w:val="left"/>
            </w:pPr>
            <w:r>
              <w:t xml:space="preserve">Signature: _____________________</w:t>
            </w:r>
          </w:p>
        </w:tc>
      </w:tr>
      <w:tr>
        <w:tc>
          <w:p>
            <w:pPr>
              <w:pStyle w:val="Compact"/>
              <w:jc w:val="left"/>
            </w:pPr>
            <w:r>
              <w:t xml:space="preserve">Name: _____________________</w:t>
            </w:r>
          </w:p>
        </w:tc>
        <w:tc>
          <w:p>
            <w:pPr>
              <w:pStyle w:val="Compact"/>
              <w:jc w:val="left"/>
            </w:pPr>
            <w:r>
              <w:t xml:space="preserve">Name: _____________________</w:t>
            </w:r>
          </w:p>
        </w:tc>
      </w:tr>
      <w:tr>
        <w:tc>
          <w:p>
            <w:pPr>
              <w:pStyle w:val="Compact"/>
              <w:jc w:val="left"/>
            </w:pPr>
            <w:r>
              <w:t xml:space="preserve">Date: ___ / ___ / ______</w:t>
            </w:r>
          </w:p>
        </w:tc>
        <w:tc>
          <w:p>
            <w:pPr>
              <w:pStyle w:val="Compact"/>
              <w:jc w:val="left"/>
            </w:pPr>
            <w:r>
              <w:t xml:space="preserve">Date: ___ / ___ / ______</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عن مزود الخدمة</w:t>
            </w:r>
          </w:p>
        </w:tc>
        <w:tc>
          <w:tcPr>
            <w:tcBorders>
              <w:bottom w:val="single"/>
            </w:tcBorders>
            <w:vAlign w:val="bottom"/>
          </w:tcPr>
          <w:p>
            <w:pPr>
              <w:pStyle w:val="Compact"/>
              <w:jc w:val="left"/>
            </w:pPr>
            <w:r>
              <w:t xml:space="preserve">عن العميل</w:t>
            </w:r>
          </w:p>
        </w:tc>
      </w:tr>
      <w:tr>
        <w:tc>
          <w:p>
            <w:pPr>
              <w:pStyle w:val="Compact"/>
              <w:jc w:val="left"/>
            </w:pPr>
            <w:r>
              <w:t xml:space="preserve">التوقيع: _____________________</w:t>
            </w:r>
          </w:p>
        </w:tc>
        <w:tc>
          <w:p>
            <w:pPr>
              <w:pStyle w:val="Compact"/>
              <w:jc w:val="left"/>
            </w:pPr>
            <w:r>
              <w:t xml:space="preserve">التوقيع: _____________________</w:t>
            </w:r>
          </w:p>
        </w:tc>
      </w:tr>
      <w:tr>
        <w:tc>
          <w:p>
            <w:pPr>
              <w:pStyle w:val="Compact"/>
              <w:jc w:val="left"/>
            </w:pPr>
            <w:r>
              <w:t xml:space="preserve">الاسم: _____________________</w:t>
            </w:r>
          </w:p>
        </w:tc>
        <w:tc>
          <w:p>
            <w:pPr>
              <w:pStyle w:val="Compact"/>
              <w:jc w:val="left"/>
            </w:pPr>
            <w:r>
              <w:t xml:space="preserve">الاسم: _____________________</w:t>
            </w:r>
          </w:p>
        </w:tc>
      </w:tr>
      <w:tr>
        <w:tc>
          <w:p>
            <w:pPr>
              <w:pStyle w:val="Compact"/>
              <w:jc w:val="left"/>
            </w:pPr>
            <w:r>
              <w:t xml:space="preserve">التاريخ: ___ / ___ / ______</w:t>
            </w:r>
          </w:p>
        </w:tc>
        <w:tc>
          <w:p>
            <w:pPr>
              <w:pStyle w:val="Compact"/>
              <w:jc w:val="left"/>
            </w:pPr>
            <w:r>
              <w:t xml:space="preserve">التاريخ: ___ / ___ / ______</w:t>
            </w:r>
          </w:p>
        </w:tc>
      </w:tr>
    </w:tbl>
    <w:p>
      <w:pPr>
        <w:pStyle w:val="Heading2"/>
      </w:pPr>
      <w:bookmarkStart w:id="84" w:name="annex-b-service-provider-credentials"/>
      <w:r>
        <w:t xml:space="preserve">Annex B — Service Provider Credentials</w:t>
      </w:r>
      <w:bookmarkEnd w:id="84"/>
    </w:p>
    <w:p>
      <w:pPr>
        <w:pStyle w:val="Heading2"/>
      </w:pPr>
      <w:bookmarkStart w:id="85" w:name="الملحق-ب-بيانات-اعتماد-مزود-الخدمة"/>
      <w:r>
        <w:t xml:space="preserve">الملحق (ب) — بيانات اعتماد مزود الخدمة</w:t>
      </w:r>
      <w:bookmarkEnd w:id="85"/>
    </w:p>
    <w:p>
      <w:pPr>
        <w:pStyle w:val="FirstParagraph"/>
      </w:pPr>
      <w:r>
        <w:t xml:space="preserve">Transcribed from the Service Provider’s official registration file. Certified copies of the register extract and the trade licence are available to the Client on request.</w:t>
      </w:r>
    </w:p>
    <w:p>
      <w:pPr>
        <w:pStyle w:val="BodyText"/>
      </w:pPr>
      <w:r>
        <w:t xml:space="preserve">منقولة من ملف التسجيل الرسمي لمزود الخدمة. وتتوفر صور مصدّقة من مستخرج السجل التجاري والترخيص التجاري للعميل عند الطلب.</w:t>
      </w:r>
    </w:p>
    <w:p>
      <w:pPr>
        <w:pStyle w:val="Heading3"/>
      </w:pPr>
      <w:bookmarkStart w:id="86" w:name="b.1-registration-licensing"/>
      <w:r>
        <w:t xml:space="preserve">B.1 Registration &amp; licensing</w:t>
      </w:r>
      <w:bookmarkEnd w:id="86"/>
    </w:p>
    <w:p>
      <w:pPr>
        <w:pStyle w:val="Heading3"/>
      </w:pPr>
      <w:bookmarkStart w:id="87" w:name="ب.1-التسجيل-والترخيص"/>
      <w:r>
        <w:t xml:space="preserve">ب.1 التسجيل والترخيص</w:t>
      </w:r>
      <w:bookmarkEnd w:id="87"/>
    </w:p>
    <w:tbl>
      <w:tblPr>
        <w:tblStyle w:val="Table"/>
        <w:tblW w:type="pct" w:w="0.0"/>
        <w:tblLook w:firstRow="1"/>
      </w:tblPr>
      <w:tblGrid/>
      <w:tr>
        <w:trPr>
          <w:cnfStyle w:firstRow="1"/>
        </w:trPr>
        <w:tc>
          <w:tcPr>
            <w:tcBorders>
              <w:bottom w:val="single"/>
            </w:tcBorders>
            <w:vAlign w:val="bottom"/>
          </w:tcPr>
          <w:p>
            <w:pPr>
              <w:pStyle w:val="Compact"/>
              <w:jc w:val="left"/>
            </w:pPr>
            <w:r>
              <w:t xml:space="preserve">Particular</w:t>
            </w:r>
          </w:p>
        </w:tc>
        <w:tc>
          <w:tcPr>
            <w:tcBorders>
              <w:bottom w:val="single"/>
            </w:tcBorders>
            <w:vAlign w:val="bottom"/>
          </w:tcPr>
          <w:p>
            <w:pPr>
              <w:pStyle w:val="Compact"/>
              <w:jc w:val="left"/>
            </w:pPr>
            <w:r>
              <w:t xml:space="preserve">Details</w:t>
            </w:r>
          </w:p>
        </w:tc>
      </w:tr>
      <w:tr>
        <w:tc>
          <w:p>
            <w:pPr>
              <w:pStyle w:val="Compact"/>
              <w:jc w:val="left"/>
            </w:pPr>
            <w:r>
              <w:rPr>
                <w:b/>
              </w:rPr>
              <w:t xml:space="preserve">Legal name (EN)</w:t>
            </w:r>
          </w:p>
        </w:tc>
        <w:tc>
          <w:p>
            <w:pPr>
              <w:pStyle w:val="Compact"/>
              <w:jc w:val="left"/>
            </w:pPr>
            <w:r>
              <w:t xml:space="preserve">Dexor Integrated Computer Solutions Co. — W.L.L.</w:t>
            </w:r>
          </w:p>
        </w:tc>
      </w:tr>
      <w:tr>
        <w:tc>
          <w:p>
            <w:pPr>
              <w:pStyle w:val="Compact"/>
              <w:jc w:val="left"/>
            </w:pPr>
            <w:r>
              <w:rPr>
                <w:b/>
              </w:rPr>
              <w:t xml:space="preserve">Legal name (AR)</w:t>
            </w:r>
          </w:p>
        </w:tc>
        <w:tc>
          <w:p>
            <w:pPr>
              <w:pStyle w:val="Compact"/>
              <w:jc w:val="left"/>
            </w:pPr>
            <w:r>
              <w:t xml:space="preserve">شركة ديكسور للحلول المتكاملة الحاسوبية ذ.م.م</w:t>
            </w:r>
          </w:p>
        </w:tc>
      </w:tr>
      <w:tr>
        <w:tc>
          <w:p>
            <w:pPr>
              <w:pStyle w:val="Compact"/>
              <w:jc w:val="left"/>
            </w:pPr>
            <w:r>
              <w:rPr>
                <w:b/>
              </w:rPr>
              <w:t xml:space="preserve">Legal form</w:t>
            </w:r>
          </w:p>
        </w:tc>
        <w:tc>
          <w:p>
            <w:pPr>
              <w:pStyle w:val="Compact"/>
              <w:jc w:val="left"/>
            </w:pPr>
            <w:r>
              <w:t xml:space="preserve">Limited Liability Company (W.L.L.), for profit</w:t>
            </w:r>
          </w:p>
        </w:tc>
      </w:tr>
      <w:tr>
        <w:tc>
          <w:p>
            <w:pPr>
              <w:pStyle w:val="Compact"/>
              <w:jc w:val="left"/>
            </w:pPr>
            <w:r>
              <w:rPr>
                <w:b/>
              </w:rPr>
              <w:t xml:space="preserve">Commercial Register</w:t>
            </w:r>
          </w:p>
        </w:tc>
        <w:tc>
          <w:p>
            <w:pPr>
              <w:pStyle w:val="Compact"/>
              <w:jc w:val="left"/>
            </w:pPr>
            <w:r>
              <w:t xml:space="preserve">No. 551952 — entered 22/07/2026</w:t>
            </w:r>
          </w:p>
        </w:tc>
      </w:tr>
      <w:tr>
        <w:tc>
          <w:p>
            <w:pPr>
              <w:pStyle w:val="Compact"/>
              <w:jc w:val="left"/>
            </w:pPr>
            <w:r>
              <w:rPr>
                <w:b/>
              </w:rPr>
              <w:t xml:space="preserve">Trade licence</w:t>
            </w:r>
          </w:p>
        </w:tc>
        <w:tc>
          <w:p>
            <w:pPr>
              <w:pStyle w:val="Compact"/>
              <w:jc w:val="left"/>
            </w:pPr>
            <w:r>
              <w:t xml:space="preserve">No. 2026/14049 — practising licence</w:t>
            </w:r>
          </w:p>
        </w:tc>
      </w:tr>
      <w:tr>
        <w:tc>
          <w:p>
            <w:pPr>
              <w:pStyle w:val="Compact"/>
              <w:jc w:val="left"/>
            </w:pPr>
            <w:r>
              <w:rPr>
                <w:b/>
              </w:rPr>
              <w:t xml:space="preserve">Licence validity</w:t>
            </w:r>
          </w:p>
        </w:tc>
        <w:tc>
          <w:p>
            <w:pPr>
              <w:pStyle w:val="Compact"/>
              <w:jc w:val="left"/>
            </w:pPr>
            <w:r>
              <w:t xml:space="preserve">Issued 30/07/2026 · valid to 29/07/2030</w:t>
            </w:r>
          </w:p>
        </w:tc>
      </w:tr>
      <w:tr>
        <w:tc>
          <w:p>
            <w:pPr>
              <w:pStyle w:val="Compact"/>
              <w:jc w:val="left"/>
            </w:pPr>
            <w:r>
              <w:rPr>
                <w:b/>
              </w:rPr>
              <w:t xml:space="preserve">Licensed activity</w:t>
            </w:r>
          </w:p>
        </w:tc>
        <w:tc>
          <w:p>
            <w:pPr>
              <w:pStyle w:val="Compact"/>
              <w:jc w:val="left"/>
            </w:pPr>
            <w:r>
              <w:t xml:space="preserve">620213 — Integrated computer solutions</w:t>
            </w:r>
          </w:p>
        </w:tc>
      </w:tr>
      <w:tr>
        <w:tc>
          <w:p>
            <w:pPr>
              <w:pStyle w:val="Compact"/>
              <w:jc w:val="left"/>
            </w:pPr>
            <w:r>
              <w:rPr>
                <w:b/>
              </w:rPr>
              <w:t xml:space="preserve">Issuing authority</w:t>
            </w:r>
          </w:p>
        </w:tc>
        <w:tc>
          <w:p>
            <w:pPr>
              <w:pStyle w:val="Compact"/>
              <w:jc w:val="left"/>
            </w:pPr>
            <w:r>
              <w:t xml:space="preserve">Ministry of Commerce &amp; Industry — Kuwait Business Centre</w:t>
            </w:r>
          </w:p>
        </w:tc>
      </w:tr>
      <w:tr>
        <w:tc>
          <w:p>
            <w:pPr>
              <w:pStyle w:val="Compact"/>
              <w:jc w:val="left"/>
            </w:pPr>
            <w:r>
              <w:rPr>
                <w:b/>
              </w:rPr>
              <w:t xml:space="preserve">Governing statutes</w:t>
            </w:r>
          </w:p>
        </w:tc>
        <w:tc>
          <w:p>
            <w:pPr>
              <w:pStyle w:val="Compact"/>
              <w:jc w:val="left"/>
            </w:pPr>
            <w:r>
              <w:t xml:space="preserve">Commercial Law 68/1980; Companies Law 1/2016 as amended by 15/2017 and its executive regulations; Shops Licensing Law 111/2013</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البيان</w:t>
            </w:r>
          </w:p>
        </w:tc>
        <w:tc>
          <w:tcPr>
            <w:tcBorders>
              <w:bottom w:val="single"/>
            </w:tcBorders>
            <w:vAlign w:val="bottom"/>
          </w:tcPr>
          <w:p>
            <w:pPr>
              <w:pStyle w:val="Compact"/>
              <w:jc w:val="left"/>
            </w:pPr>
            <w:r>
              <w:t xml:space="preserve">التفاصيل</w:t>
            </w:r>
          </w:p>
        </w:tc>
      </w:tr>
      <w:tr>
        <w:tc>
          <w:p>
            <w:pPr>
              <w:pStyle w:val="Compact"/>
              <w:jc w:val="left"/>
            </w:pPr>
            <w:r>
              <w:rPr>
                <w:b/>
              </w:rPr>
              <w:t xml:space="preserve">الاسم القانوني (إنجليزي)</w:t>
            </w:r>
          </w:p>
        </w:tc>
        <w:tc>
          <w:p>
            <w:pPr>
              <w:pStyle w:val="Compact"/>
              <w:jc w:val="left"/>
            </w:pPr>
            <w:r>
              <w:t xml:space="preserve">Dexor Integrated Computer Solutions Co. — W.L.L.</w:t>
            </w:r>
          </w:p>
        </w:tc>
      </w:tr>
      <w:tr>
        <w:tc>
          <w:p>
            <w:pPr>
              <w:pStyle w:val="Compact"/>
              <w:jc w:val="left"/>
            </w:pPr>
            <w:r>
              <w:rPr>
                <w:b/>
              </w:rPr>
              <w:t xml:space="preserve">الاسم القانوني (عربي)</w:t>
            </w:r>
          </w:p>
        </w:tc>
        <w:tc>
          <w:p>
            <w:pPr>
              <w:pStyle w:val="Compact"/>
              <w:jc w:val="left"/>
            </w:pPr>
            <w:r>
              <w:t xml:space="preserve">شركة ديكسور للحلول المتكاملة الحاسوبية ذ.م.م</w:t>
            </w:r>
          </w:p>
        </w:tc>
      </w:tr>
      <w:tr>
        <w:tc>
          <w:p>
            <w:pPr>
              <w:pStyle w:val="Compact"/>
              <w:jc w:val="left"/>
            </w:pPr>
            <w:r>
              <w:rPr>
                <w:b/>
              </w:rPr>
              <w:t xml:space="preserve">الكيان القانوني</w:t>
            </w:r>
          </w:p>
        </w:tc>
        <w:tc>
          <w:p>
            <w:pPr>
              <w:pStyle w:val="Compact"/>
              <w:jc w:val="left"/>
            </w:pPr>
            <w:r>
              <w:t xml:space="preserve">شركة ذات مسؤولية محدودة هادفة للربح</w:t>
            </w:r>
          </w:p>
        </w:tc>
      </w:tr>
      <w:tr>
        <w:tc>
          <w:p>
            <w:pPr>
              <w:pStyle w:val="Compact"/>
              <w:jc w:val="left"/>
            </w:pPr>
            <w:r>
              <w:rPr>
                <w:b/>
              </w:rPr>
              <w:t xml:space="preserve">السجل التجاري</w:t>
            </w:r>
          </w:p>
        </w:tc>
        <w:tc>
          <w:p>
            <w:pPr>
              <w:pStyle w:val="Compact"/>
              <w:jc w:val="left"/>
            </w:pPr>
            <w:r>
              <w:t xml:space="preserve">رقم 551952 — تاريخ القيد 22/07/2026</w:t>
            </w:r>
          </w:p>
        </w:tc>
      </w:tr>
      <w:tr>
        <w:tc>
          <w:p>
            <w:pPr>
              <w:pStyle w:val="Compact"/>
              <w:jc w:val="left"/>
            </w:pPr>
            <w:r>
              <w:rPr>
                <w:b/>
              </w:rPr>
              <w:t xml:space="preserve">الترخيص التجاري</w:t>
            </w:r>
          </w:p>
        </w:tc>
        <w:tc>
          <w:p>
            <w:pPr>
              <w:pStyle w:val="Compact"/>
              <w:jc w:val="left"/>
            </w:pPr>
            <w:r>
              <w:t xml:space="preserve">رقم 2026/14049 — ترخيص مزاولة</w:t>
            </w:r>
          </w:p>
        </w:tc>
      </w:tr>
      <w:tr>
        <w:tc>
          <w:p>
            <w:pPr>
              <w:pStyle w:val="Compact"/>
              <w:jc w:val="left"/>
            </w:pPr>
            <w:r>
              <w:rPr>
                <w:b/>
              </w:rPr>
              <w:t xml:space="preserve">سريان الترخيص</w:t>
            </w:r>
          </w:p>
        </w:tc>
        <w:tc>
          <w:p>
            <w:pPr>
              <w:pStyle w:val="Compact"/>
              <w:jc w:val="left"/>
            </w:pPr>
            <w:r>
              <w:t xml:space="preserve">صدر 30/07/2026 · ساري حتى 29/07/2030</w:t>
            </w:r>
          </w:p>
        </w:tc>
      </w:tr>
      <w:tr>
        <w:tc>
          <w:p>
            <w:pPr>
              <w:pStyle w:val="Compact"/>
              <w:jc w:val="left"/>
            </w:pPr>
            <w:r>
              <w:rPr>
                <w:b/>
              </w:rPr>
              <w:t xml:space="preserve">النشاط المرخّص</w:t>
            </w:r>
          </w:p>
        </w:tc>
        <w:tc>
          <w:p>
            <w:pPr>
              <w:pStyle w:val="Compact"/>
              <w:jc w:val="left"/>
            </w:pPr>
            <w:r>
              <w:t xml:space="preserve">620213 — حلول متكاملة حاسوبية</w:t>
            </w:r>
          </w:p>
        </w:tc>
      </w:tr>
      <w:tr>
        <w:tc>
          <w:p>
            <w:pPr>
              <w:pStyle w:val="Compact"/>
              <w:jc w:val="left"/>
            </w:pPr>
            <w:r>
              <w:rPr>
                <w:b/>
              </w:rPr>
              <w:t xml:space="preserve">الجهة المُصدِرة</w:t>
            </w:r>
          </w:p>
        </w:tc>
        <w:tc>
          <w:p>
            <w:pPr>
              <w:pStyle w:val="Compact"/>
              <w:jc w:val="left"/>
            </w:pPr>
            <w:r>
              <w:t xml:space="preserve">وزارة التجارة والصناعة — مركز الكويت للأعمال</w:t>
            </w:r>
          </w:p>
        </w:tc>
      </w:tr>
      <w:tr>
        <w:tc>
          <w:p>
            <w:pPr>
              <w:pStyle w:val="Compact"/>
              <w:jc w:val="left"/>
            </w:pPr>
            <w:r>
              <w:rPr>
                <w:b/>
              </w:rPr>
              <w:t xml:space="preserve">القوانين الحاكمة</w:t>
            </w:r>
          </w:p>
        </w:tc>
        <w:tc>
          <w:p>
            <w:pPr>
              <w:pStyle w:val="Compact"/>
              <w:jc w:val="left"/>
            </w:pPr>
            <w:r>
              <w:t xml:space="preserve">قانون التجارة 68/1980؛ قانون الشركات 1/2016 المعدّل بالقانون 15/2017 ولائحته التنفيذية؛ قانون ترخيص المحلات التجارية 111/2013</w:t>
            </w:r>
          </w:p>
        </w:tc>
      </w:tr>
    </w:tbl>
    <w:p>
      <w:pPr>
        <w:pStyle w:val="Heading3"/>
      </w:pPr>
      <w:bookmarkStart w:id="88" w:name="b.2-constitution-signing-authority"/>
      <w:r>
        <w:t xml:space="preserve">B.2 Constitution &amp; signing authority</w:t>
      </w:r>
      <w:bookmarkEnd w:id="88"/>
    </w:p>
    <w:p>
      <w:pPr>
        <w:pStyle w:val="Heading3"/>
      </w:pPr>
      <w:bookmarkStart w:id="89" w:name="ب.2-التأسيس-وصلاحية-التوقيع"/>
      <w:r>
        <w:t xml:space="preserve">ب.2 التأسيس وصلاحية التوقيع</w:t>
      </w:r>
      <w:bookmarkEnd w:id="89"/>
    </w:p>
    <w:tbl>
      <w:tblPr>
        <w:tblStyle w:val="Table"/>
        <w:tblW w:type="pct" w:w="0.0"/>
        <w:tblLook w:firstRow="1"/>
      </w:tblPr>
      <w:tblGrid/>
      <w:tr>
        <w:trPr>
          <w:cnfStyle w:firstRow="1"/>
        </w:trPr>
        <w:tc>
          <w:tcPr>
            <w:tcBorders>
              <w:bottom w:val="single"/>
            </w:tcBorders>
            <w:vAlign w:val="bottom"/>
          </w:tcPr>
          <w:p>
            <w:pPr>
              <w:pStyle w:val="Compact"/>
              <w:jc w:val="left"/>
            </w:pPr>
            <w:r>
              <w:t xml:space="preserve">Particular</w:t>
            </w:r>
          </w:p>
        </w:tc>
        <w:tc>
          <w:tcPr>
            <w:tcBorders>
              <w:bottom w:val="single"/>
            </w:tcBorders>
            <w:vAlign w:val="bottom"/>
          </w:tcPr>
          <w:p>
            <w:pPr>
              <w:pStyle w:val="Compact"/>
              <w:jc w:val="left"/>
            </w:pPr>
            <w:r>
              <w:t xml:space="preserve">Details</w:t>
            </w:r>
          </w:p>
        </w:tc>
      </w:tr>
      <w:tr>
        <w:tc>
          <w:p>
            <w:pPr>
              <w:pStyle w:val="Compact"/>
              <w:jc w:val="left"/>
            </w:pPr>
            <w:r>
              <w:rPr>
                <w:b/>
              </w:rPr>
              <w:t xml:space="preserve">Articles of association</w:t>
            </w:r>
          </w:p>
        </w:tc>
        <w:tc>
          <w:p>
            <w:pPr>
              <w:pStyle w:val="Compact"/>
              <w:jc w:val="left"/>
            </w:pPr>
            <w:r>
              <w:t xml:space="preserve">Notarised by the Ministry of Justice — Department of Authentication, No. 3073 of 2026, dated 22/07/2026</w:t>
            </w:r>
          </w:p>
        </w:tc>
      </w:tr>
      <w:tr>
        <w:tc>
          <w:p>
            <w:pPr>
              <w:pStyle w:val="Compact"/>
              <w:jc w:val="left"/>
            </w:pPr>
            <w:r>
              <w:rPr>
                <w:b/>
              </w:rPr>
              <w:t xml:space="preserve">Duration (Art. 3)</w:t>
            </w:r>
          </w:p>
        </w:tc>
        <w:tc>
          <w:p>
            <w:pPr>
              <w:pStyle w:val="Compact"/>
              <w:jc w:val="left"/>
            </w:pPr>
            <w:r>
              <w:t xml:space="preserve">99 years from the date of the company contract, automatically renewed</w:t>
            </w:r>
          </w:p>
        </w:tc>
      </w:tr>
      <w:tr>
        <w:tc>
          <w:p>
            <w:pPr>
              <w:pStyle w:val="Compact"/>
              <w:jc w:val="left"/>
            </w:pPr>
            <w:r>
              <w:rPr>
                <w:b/>
              </w:rPr>
              <w:t xml:space="preserve">Head office (Art. 2)</w:t>
            </w:r>
          </w:p>
        </w:tc>
        <w:tc>
          <w:p>
            <w:pPr>
              <w:pStyle w:val="Compact"/>
              <w:jc w:val="left"/>
            </w:pPr>
            <w:r>
              <w:t xml:space="preserve">State of Kuwait; the registered address in B.3 is the company’s legal domicile for notices</w:t>
            </w:r>
          </w:p>
        </w:tc>
      </w:tr>
      <w:tr>
        <w:tc>
          <w:p>
            <w:pPr>
              <w:pStyle w:val="Compact"/>
              <w:jc w:val="left"/>
            </w:pPr>
            <w:r>
              <w:rPr>
                <w:b/>
              </w:rPr>
              <w:t xml:space="preserve">Authorised signatory</w:t>
            </w:r>
          </w:p>
        </w:tc>
        <w:tc>
          <w:p>
            <w:pPr>
              <w:pStyle w:val="Compact"/>
              <w:jc w:val="left"/>
            </w:pPr>
            <w:r>
              <w:rPr>
                <w:b/>
              </w:rPr>
              <w:t xml:space="preserve">Mr. Mohammad Abdullah Hammad Al-Ajmi</w:t>
            </w:r>
            <w:r>
              <w:t xml:space="preserve"> </w:t>
            </w:r>
            <w:r>
              <w:t xml:space="preserve">— manager, empowered under Articles 8–9 to sign</w:t>
            </w:r>
            <w:r>
              <w:t xml:space="preserve"> </w:t>
            </w:r>
            <w:r>
              <w:rPr>
                <w:b/>
              </w:rPr>
              <w:t xml:space="preserve">severally</w:t>
            </w:r>
            <w:r>
              <w:t xml:space="preserve"> </w:t>
            </w:r>
            <w:r>
              <w:t xml:space="preserve">and bind the company</w:t>
            </w:r>
          </w:p>
        </w:tc>
      </w:tr>
      <w:tr>
        <w:tc>
          <w:p>
            <w:pPr>
              <w:pStyle w:val="Compact"/>
              <w:jc w:val="left"/>
            </w:pPr>
            <w:r>
              <w:rPr>
                <w:b/>
              </w:rPr>
              <w:t xml:space="preserve">Regulatory approvals</w:t>
            </w:r>
          </w:p>
        </w:tc>
        <w:tc>
          <w:p>
            <w:pPr>
              <w:pStyle w:val="Compact"/>
              <w:jc w:val="left"/>
            </w:pPr>
            <w:r>
              <w:t xml:space="preserve">Kuwait Municipality No. 1454538 (30/07/2026); Ministry of Justice No. 3073 (22/07/2026)</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البيان</w:t>
            </w:r>
          </w:p>
        </w:tc>
        <w:tc>
          <w:tcPr>
            <w:tcBorders>
              <w:bottom w:val="single"/>
            </w:tcBorders>
            <w:vAlign w:val="bottom"/>
          </w:tcPr>
          <w:p>
            <w:pPr>
              <w:pStyle w:val="Compact"/>
              <w:jc w:val="left"/>
            </w:pPr>
            <w:r>
              <w:t xml:space="preserve">التفاصيل</w:t>
            </w:r>
          </w:p>
        </w:tc>
      </w:tr>
      <w:tr>
        <w:tc>
          <w:p>
            <w:pPr>
              <w:pStyle w:val="Compact"/>
              <w:jc w:val="left"/>
            </w:pPr>
            <w:r>
              <w:rPr>
                <w:b/>
              </w:rPr>
              <w:t xml:space="preserve">عقد التأسيس</w:t>
            </w:r>
          </w:p>
        </w:tc>
        <w:tc>
          <w:p>
            <w:pPr>
              <w:pStyle w:val="Compact"/>
              <w:jc w:val="left"/>
            </w:pPr>
            <w:r>
              <w:t xml:space="preserve">موثّق لدى وزارة العدل — إدارة التوثيق، رقم 3073 لسنة 2026، بتاريخ 22/07/2026</w:t>
            </w:r>
          </w:p>
        </w:tc>
      </w:tr>
      <w:tr>
        <w:tc>
          <w:p>
            <w:pPr>
              <w:pStyle w:val="Compact"/>
              <w:jc w:val="left"/>
            </w:pPr>
            <w:r>
              <w:rPr>
                <w:b/>
              </w:rPr>
              <w:t xml:space="preserve">المدة (مادة 3)</w:t>
            </w:r>
          </w:p>
        </w:tc>
        <w:tc>
          <w:p>
            <w:pPr>
              <w:pStyle w:val="Compact"/>
              <w:jc w:val="left"/>
            </w:pPr>
            <w:r>
              <w:t xml:space="preserve">99 سنة من تاريخ عقد الشركة، تُمدّد تلقائياً</w:t>
            </w:r>
          </w:p>
        </w:tc>
      </w:tr>
      <w:tr>
        <w:tc>
          <w:p>
            <w:pPr>
              <w:pStyle w:val="Compact"/>
              <w:jc w:val="left"/>
            </w:pPr>
            <w:r>
              <w:rPr>
                <w:b/>
              </w:rPr>
              <w:t xml:space="preserve">المركز الرئيسي (مادة 2)</w:t>
            </w:r>
          </w:p>
        </w:tc>
        <w:tc>
          <w:p>
            <w:pPr>
              <w:pStyle w:val="Compact"/>
              <w:jc w:val="left"/>
            </w:pPr>
            <w:r>
              <w:t xml:space="preserve">دولة الكويت؛ والعنوان المسجّل في (ب.3) هو الموطن القانوني للشركة في المراسلات</w:t>
            </w:r>
          </w:p>
        </w:tc>
      </w:tr>
      <w:tr>
        <w:tc>
          <w:p>
            <w:pPr>
              <w:pStyle w:val="Compact"/>
              <w:jc w:val="left"/>
            </w:pPr>
            <w:r>
              <w:rPr>
                <w:b/>
              </w:rPr>
              <w:t xml:space="preserve">المفوّض بالتوقيع</w:t>
            </w:r>
          </w:p>
        </w:tc>
        <w:tc>
          <w:p>
            <w:pPr>
              <w:pStyle w:val="Compact"/>
              <w:jc w:val="left"/>
            </w:pPr>
            <w:r>
              <w:rPr>
                <w:b/>
              </w:rPr>
              <w:t xml:space="preserve">السيد / محمد عبدالله حماد العجمي</w:t>
            </w:r>
            <w:r>
              <w:t xml:space="preserve"> </w:t>
            </w:r>
            <w:r>
              <w:t xml:space="preserve">— مدير الشركة، ومخوّل بموجب المادتين (8) و(9) بالتوقيع</w:t>
            </w:r>
            <w:r>
              <w:t xml:space="preserve"> </w:t>
            </w:r>
            <w:r>
              <w:rPr>
                <w:b/>
              </w:rPr>
              <w:t xml:space="preserve">منفرداً</w:t>
            </w:r>
            <w:r>
              <w:t xml:space="preserve"> </w:t>
            </w:r>
            <w:r>
              <w:t xml:space="preserve">وإلزام الشركة</w:t>
            </w:r>
          </w:p>
        </w:tc>
      </w:tr>
      <w:tr>
        <w:tc>
          <w:p>
            <w:pPr>
              <w:pStyle w:val="Compact"/>
              <w:jc w:val="left"/>
            </w:pPr>
            <w:r>
              <w:rPr>
                <w:b/>
              </w:rPr>
              <w:t xml:space="preserve">جهات الموافقة</w:t>
            </w:r>
          </w:p>
        </w:tc>
        <w:tc>
          <w:p>
            <w:pPr>
              <w:pStyle w:val="Compact"/>
              <w:jc w:val="left"/>
            </w:pPr>
            <w:r>
              <w:t xml:space="preserve">بلدية الكويت رقم 1454538 (30/07/2026)؛ وزارة العدل رقم 3073 (22/07/2026)</w:t>
            </w:r>
          </w:p>
        </w:tc>
      </w:tr>
    </w:tbl>
    <w:p>
      <w:pPr>
        <w:pStyle w:val="Heading3"/>
      </w:pPr>
      <w:bookmarkStart w:id="90" w:name="Xcf2fdc095196343163767ce99fad30d967e1dd5"/>
      <w:r>
        <w:t xml:space="preserve">B.3 Registered address (address for notices)</w:t>
      </w:r>
      <w:bookmarkEnd w:id="90"/>
    </w:p>
    <w:p>
      <w:pPr>
        <w:pStyle w:val="Heading3"/>
      </w:pPr>
      <w:bookmarkStart w:id="91" w:name="ب.3-العنوان-المسجل-عنوان-المراسلات"/>
      <w:r>
        <w:t xml:space="preserve">ب.3 العنوان المسجّل (عنوان المراسلات)</w:t>
      </w:r>
      <w:bookmarkEnd w:id="91"/>
    </w:p>
    <w:tbl>
      <w:tblPr>
        <w:tblStyle w:val="Table"/>
        <w:tblW w:type="pct" w:w="0.0"/>
        <w:tblLook w:firstRow="1"/>
      </w:tblPr>
      <w:tblGrid/>
      <w:tr>
        <w:trPr>
          <w:cnfStyle w:firstRow="1"/>
        </w:trPr>
        <w:tc>
          <w:tcPr>
            <w:tcBorders>
              <w:bottom w:val="single"/>
            </w:tcBorders>
            <w:vAlign w:val="bottom"/>
          </w:tcPr>
          <w:p>
            <w:pPr>
              <w:pStyle w:val="Compact"/>
              <w:jc w:val="left"/>
            </w:pPr>
            <w:r>
              <w:t xml:space="preserve">Particular</w:t>
            </w:r>
          </w:p>
        </w:tc>
        <w:tc>
          <w:tcPr>
            <w:tcBorders>
              <w:bottom w:val="single"/>
            </w:tcBorders>
            <w:vAlign w:val="bottom"/>
          </w:tcPr>
          <w:p>
            <w:pPr>
              <w:pStyle w:val="Compact"/>
              <w:jc w:val="left"/>
            </w:pPr>
            <w:r>
              <w:t xml:space="preserve">Details</w:t>
            </w:r>
          </w:p>
        </w:tc>
      </w:tr>
      <w:tr>
        <w:tc>
          <w:p>
            <w:pPr>
              <w:pStyle w:val="Compact"/>
              <w:jc w:val="left"/>
            </w:pPr>
            <w:r>
              <w:rPr>
                <w:b/>
              </w:rPr>
              <w:t xml:space="preserve">Governorate / Area</w:t>
            </w:r>
          </w:p>
        </w:tc>
        <w:tc>
          <w:p>
            <w:pPr>
              <w:pStyle w:val="Compact"/>
              <w:jc w:val="left"/>
            </w:pPr>
            <w:r>
              <w:t xml:space="preserve">Capital Governorate — Qibla</w:t>
            </w:r>
          </w:p>
        </w:tc>
      </w:tr>
      <w:tr>
        <w:tc>
          <w:p>
            <w:pPr>
              <w:pStyle w:val="Compact"/>
              <w:jc w:val="left"/>
            </w:pPr>
            <w:r>
              <w:rPr>
                <w:b/>
              </w:rPr>
              <w:t xml:space="preserve">Block / Plot</w:t>
            </w:r>
          </w:p>
        </w:tc>
        <w:tc>
          <w:p>
            <w:pPr>
              <w:pStyle w:val="Compact"/>
              <w:jc w:val="left"/>
            </w:pPr>
            <w:r>
              <w:t xml:space="preserve">Block 013 — Plot 000028</w:t>
            </w:r>
          </w:p>
        </w:tc>
      </w:tr>
      <w:tr>
        <w:tc>
          <w:p>
            <w:pPr>
              <w:pStyle w:val="Compact"/>
              <w:jc w:val="left"/>
            </w:pPr>
            <w:r>
              <w:rPr>
                <w:b/>
              </w:rPr>
              <w:t xml:space="preserve">Street</w:t>
            </w:r>
          </w:p>
        </w:tc>
        <w:tc>
          <w:p>
            <w:pPr>
              <w:pStyle w:val="Compact"/>
              <w:jc w:val="left"/>
            </w:pPr>
            <w:r>
              <w:t xml:space="preserve">Fahad Al-Salem Street</w:t>
            </w:r>
          </w:p>
        </w:tc>
      </w:tr>
      <w:tr>
        <w:tc>
          <w:p>
            <w:pPr>
              <w:pStyle w:val="Compact"/>
              <w:jc w:val="left"/>
            </w:pPr>
            <w:r>
              <w:rPr>
                <w:b/>
              </w:rPr>
              <w:t xml:space="preserve">Building</w:t>
            </w:r>
          </w:p>
        </w:tc>
        <w:tc>
          <w:p>
            <w:pPr>
              <w:pStyle w:val="Compact"/>
              <w:jc w:val="left"/>
            </w:pPr>
            <w:r>
              <w:t xml:space="preserve">Ministry of Awqaf Bldg. No. 2405 — Al Salam Tower</w:t>
            </w:r>
          </w:p>
        </w:tc>
      </w:tr>
      <w:tr>
        <w:tc>
          <w:p>
            <w:pPr>
              <w:pStyle w:val="Compact"/>
              <w:jc w:val="left"/>
            </w:pPr>
            <w:r>
              <w:rPr>
                <w:b/>
              </w:rPr>
              <w:t xml:space="preserve">Floor / Unit</w:t>
            </w:r>
          </w:p>
        </w:tc>
        <w:tc>
          <w:p>
            <w:pPr>
              <w:pStyle w:val="Compact"/>
              <w:jc w:val="left"/>
            </w:pPr>
            <w:r>
              <w:t xml:space="preserve">16th floor — commercial office, unit No. 8</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البيان</w:t>
            </w:r>
          </w:p>
        </w:tc>
        <w:tc>
          <w:tcPr>
            <w:tcBorders>
              <w:bottom w:val="single"/>
            </w:tcBorders>
            <w:vAlign w:val="bottom"/>
          </w:tcPr>
          <w:p>
            <w:pPr>
              <w:pStyle w:val="Compact"/>
              <w:jc w:val="left"/>
            </w:pPr>
            <w:r>
              <w:t xml:space="preserve">التفاصيل</w:t>
            </w:r>
          </w:p>
        </w:tc>
      </w:tr>
      <w:tr>
        <w:tc>
          <w:p>
            <w:pPr>
              <w:pStyle w:val="Compact"/>
              <w:jc w:val="left"/>
            </w:pPr>
            <w:r>
              <w:rPr>
                <w:b/>
              </w:rPr>
              <w:t xml:space="preserve">المحافظة / المنطقة</w:t>
            </w:r>
          </w:p>
        </w:tc>
        <w:tc>
          <w:p>
            <w:pPr>
              <w:pStyle w:val="Compact"/>
              <w:jc w:val="left"/>
            </w:pPr>
            <w:r>
              <w:t xml:space="preserve">محافظة العاصمة — القبلة</w:t>
            </w:r>
          </w:p>
        </w:tc>
      </w:tr>
      <w:tr>
        <w:tc>
          <w:p>
            <w:pPr>
              <w:pStyle w:val="Compact"/>
              <w:jc w:val="left"/>
            </w:pPr>
            <w:r>
              <w:rPr>
                <w:b/>
              </w:rPr>
              <w:t xml:space="preserve">القطعة / القسيمة</w:t>
            </w:r>
          </w:p>
        </w:tc>
        <w:tc>
          <w:p>
            <w:pPr>
              <w:pStyle w:val="Compact"/>
              <w:jc w:val="left"/>
            </w:pPr>
            <w:r>
              <w:t xml:space="preserve">القطعة 013 — القسيمة 000028</w:t>
            </w:r>
          </w:p>
        </w:tc>
      </w:tr>
      <w:tr>
        <w:tc>
          <w:p>
            <w:pPr>
              <w:pStyle w:val="Compact"/>
              <w:jc w:val="left"/>
            </w:pPr>
            <w:r>
              <w:rPr>
                <w:b/>
              </w:rPr>
              <w:t xml:space="preserve">الشارع</w:t>
            </w:r>
          </w:p>
        </w:tc>
        <w:tc>
          <w:p>
            <w:pPr>
              <w:pStyle w:val="Compact"/>
              <w:jc w:val="left"/>
            </w:pPr>
            <w:r>
              <w:t xml:space="preserve">شارع فهد السالم</w:t>
            </w:r>
          </w:p>
        </w:tc>
      </w:tr>
      <w:tr>
        <w:tc>
          <w:p>
            <w:pPr>
              <w:pStyle w:val="Compact"/>
              <w:jc w:val="left"/>
            </w:pPr>
            <w:r>
              <w:rPr>
                <w:b/>
              </w:rPr>
              <w:t xml:space="preserve">المبنى</w:t>
            </w:r>
          </w:p>
        </w:tc>
        <w:tc>
          <w:p>
            <w:pPr>
              <w:pStyle w:val="Compact"/>
              <w:jc w:val="left"/>
            </w:pPr>
            <w:r>
              <w:t xml:space="preserve">مبنى وزارة الأوقاف رقم 2405 — برج السلام</w:t>
            </w:r>
          </w:p>
        </w:tc>
      </w:tr>
      <w:tr>
        <w:tc>
          <w:p>
            <w:pPr>
              <w:pStyle w:val="Compact"/>
              <w:jc w:val="left"/>
            </w:pPr>
            <w:r>
              <w:rPr>
                <w:b/>
              </w:rPr>
              <w:t xml:space="preserve">الدور / الوحدة</w:t>
            </w:r>
          </w:p>
        </w:tc>
        <w:tc>
          <w:p>
            <w:pPr>
              <w:pStyle w:val="Compact"/>
              <w:jc w:val="left"/>
            </w:pPr>
            <w:r>
              <w:t xml:space="preserve">الدور 16 — مكتب تجاري، وحدة رقم 8</w:t>
            </w:r>
          </w:p>
        </w:tc>
      </w:tr>
    </w:tbl>
    <w:p>
      <w:pPr>
        <w:pStyle w:val="Heading3"/>
      </w:pPr>
      <w:bookmarkStart w:id="92" w:name="b.4-official-contact-channels"/>
      <w:r>
        <w:t xml:space="preserve">B.4 Official contact channels</w:t>
      </w:r>
      <w:bookmarkEnd w:id="92"/>
    </w:p>
    <w:p>
      <w:pPr>
        <w:pStyle w:val="Heading3"/>
      </w:pPr>
      <w:bookmarkStart w:id="93" w:name="ب.4-قنوات-الاتصال-الرسمية"/>
      <w:r>
        <w:t xml:space="preserve">ب.4 قنوات الاتصال الرسمية</w:t>
      </w:r>
      <w:bookmarkEnd w:id="93"/>
    </w:p>
    <w:tbl>
      <w:tblPr>
        <w:tblStyle w:val="Table"/>
        <w:tblW w:type="pct" w:w="0.0"/>
        <w:tblLook w:firstRow="1"/>
      </w:tblPr>
      <w:tblGrid/>
      <w:tr>
        <w:trPr>
          <w:cnfStyle w:firstRow="1"/>
        </w:trPr>
        <w:tc>
          <w:tcPr>
            <w:tcBorders>
              <w:bottom w:val="single"/>
            </w:tcBorders>
            <w:vAlign w:val="bottom"/>
          </w:tcPr>
          <w:p>
            <w:pPr>
              <w:pStyle w:val="Compact"/>
              <w:jc w:val="left"/>
            </w:pPr>
            <w:r>
              <w:t xml:space="preserve">Particular</w:t>
            </w:r>
          </w:p>
        </w:tc>
        <w:tc>
          <w:tcPr>
            <w:tcBorders>
              <w:bottom w:val="single"/>
            </w:tcBorders>
            <w:vAlign w:val="bottom"/>
          </w:tcPr>
          <w:p>
            <w:pPr>
              <w:pStyle w:val="Compact"/>
              <w:jc w:val="left"/>
            </w:pPr>
            <w:r>
              <w:t xml:space="preserve">Details</w:t>
            </w:r>
          </w:p>
        </w:tc>
      </w:tr>
      <w:tr>
        <w:tc>
          <w:p>
            <w:pPr>
              <w:pStyle w:val="Compact"/>
              <w:jc w:val="left"/>
            </w:pPr>
            <w:r>
              <w:rPr>
                <w:b/>
              </w:rPr>
              <w:t xml:space="preserve">Email</w:t>
            </w:r>
          </w:p>
        </w:tc>
        <w:tc>
          <w:p>
            <w:pPr>
              <w:pStyle w:val="Compact"/>
              <w:jc w:val="left"/>
            </w:pPr>
            <w:r>
              <w:t xml:space="preserve">info@dexor.ae</w:t>
            </w:r>
          </w:p>
        </w:tc>
      </w:tr>
      <w:tr>
        <w:tc>
          <w:p>
            <w:pPr>
              <w:pStyle w:val="Compact"/>
              <w:jc w:val="left"/>
            </w:pPr>
            <w:r>
              <w:rPr>
                <w:b/>
              </w:rPr>
              <w:t xml:space="preserve">Telephone</w:t>
            </w:r>
          </w:p>
        </w:tc>
        <w:tc>
          <w:p>
            <w:pPr>
              <w:pStyle w:val="Compact"/>
              <w:jc w:val="left"/>
            </w:pPr>
            <w:r>
              <w:t xml:space="preserve">+20 15 501 42 885</w:t>
            </w:r>
          </w:p>
        </w:tc>
      </w:tr>
      <w:tr>
        <w:tc>
          <w:p>
            <w:pPr>
              <w:pStyle w:val="Compact"/>
              <w:jc w:val="left"/>
            </w:pPr>
            <w:r>
              <w:rPr>
                <w:b/>
              </w:rPr>
              <w:t xml:space="preserve">Website</w:t>
            </w:r>
          </w:p>
        </w:tc>
        <w:tc>
          <w:p>
            <w:pPr>
              <w:pStyle w:val="Compact"/>
              <w:jc w:val="left"/>
            </w:pPr>
            <w:r>
              <w:t xml:space="preserve">www.dexor.ae</w:t>
            </w:r>
          </w:p>
        </w:tc>
      </w:tr>
      <w:tr>
        <w:tc>
          <w:p>
            <w:pPr>
              <w:pStyle w:val="Compact"/>
              <w:jc w:val="left"/>
            </w:pPr>
            <w:r>
              <w:rPr>
                <w:b/>
              </w:rPr>
              <w:t xml:space="preserve">Brand</w:t>
            </w:r>
          </w:p>
        </w:tc>
        <w:tc>
          <w:p>
            <w:pPr>
              <w:pStyle w:val="Compact"/>
              <w:jc w:val="left"/>
            </w:pPr>
            <w:r>
              <w:t xml:space="preserve">DEXOR — “Systems with Souls”</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البيان</w:t>
            </w:r>
          </w:p>
        </w:tc>
        <w:tc>
          <w:tcPr>
            <w:tcBorders>
              <w:bottom w:val="single"/>
            </w:tcBorders>
            <w:vAlign w:val="bottom"/>
          </w:tcPr>
          <w:p>
            <w:pPr>
              <w:pStyle w:val="Compact"/>
              <w:jc w:val="left"/>
            </w:pPr>
            <w:r>
              <w:t xml:space="preserve">التفاصيل</w:t>
            </w:r>
          </w:p>
        </w:tc>
      </w:tr>
      <w:tr>
        <w:tc>
          <w:p>
            <w:pPr>
              <w:pStyle w:val="Compact"/>
              <w:jc w:val="left"/>
            </w:pPr>
            <w:r>
              <w:rPr>
                <w:b/>
              </w:rPr>
              <w:t xml:space="preserve">البريد الإلكتروني</w:t>
            </w:r>
          </w:p>
        </w:tc>
        <w:tc>
          <w:p>
            <w:pPr>
              <w:pStyle w:val="Compact"/>
              <w:jc w:val="left"/>
            </w:pPr>
            <w:r>
              <w:t xml:space="preserve">info@dexor.ae</w:t>
            </w:r>
          </w:p>
        </w:tc>
      </w:tr>
      <w:tr>
        <w:tc>
          <w:p>
            <w:pPr>
              <w:pStyle w:val="Compact"/>
              <w:jc w:val="left"/>
            </w:pPr>
            <w:r>
              <w:rPr>
                <w:b/>
              </w:rPr>
              <w:t xml:space="preserve">الهاتف</w:t>
            </w:r>
          </w:p>
        </w:tc>
        <w:tc>
          <w:p>
            <w:pPr>
              <w:pStyle w:val="Compact"/>
              <w:jc w:val="left"/>
            </w:pPr>
            <w:r>
              <w:t xml:space="preserve">+20 15 501 42 885</w:t>
            </w:r>
          </w:p>
        </w:tc>
      </w:tr>
      <w:tr>
        <w:tc>
          <w:p>
            <w:pPr>
              <w:pStyle w:val="Compact"/>
              <w:jc w:val="left"/>
            </w:pPr>
            <w:r>
              <w:rPr>
                <w:b/>
              </w:rPr>
              <w:t xml:space="preserve">الموقع الإلكتروني</w:t>
            </w:r>
          </w:p>
        </w:tc>
        <w:tc>
          <w:p>
            <w:pPr>
              <w:pStyle w:val="Compact"/>
              <w:jc w:val="left"/>
            </w:pPr>
            <w:r>
              <w:t xml:space="preserve">www.dexor.ae</w:t>
            </w:r>
          </w:p>
        </w:tc>
      </w:tr>
      <w:tr>
        <w:tc>
          <w:p>
            <w:pPr>
              <w:pStyle w:val="Compact"/>
              <w:jc w:val="left"/>
            </w:pPr>
            <w:r>
              <w:rPr>
                <w:b/>
              </w:rPr>
              <w:t xml:space="preserve">العلامة التجارية</w:t>
            </w:r>
          </w:p>
        </w:tc>
        <w:tc>
          <w:p>
            <w:pPr>
              <w:pStyle w:val="Compact"/>
              <w:jc w:val="left"/>
            </w:pPr>
            <w:r>
              <w:t xml:space="preserve">DEXOR — “Systems with Souls”</w:t>
            </w:r>
          </w:p>
        </w:tc>
      </w:tr>
    </w:tbl>
    <w:p>
      <w:pPr>
        <w:pStyle w:val="Heading3"/>
      </w:pPr>
      <w:bookmarkStart w:id="94" w:name="b.5-confidential-corporate-information"/>
      <w:r>
        <w:t xml:space="preserve">B.5 Confidential corporate information</w:t>
      </w:r>
      <w:bookmarkEnd w:id="94"/>
    </w:p>
    <w:p>
      <w:pPr>
        <w:pStyle w:val="Heading3"/>
      </w:pPr>
      <w:bookmarkStart w:id="95" w:name="ب.5-المعلومات-المؤسسية-السرية"/>
      <w:r>
        <w:t xml:space="preserve">ب.5 المعلومات المؤسسية السرية</w:t>
      </w:r>
      <w:bookmarkEnd w:id="95"/>
    </w:p>
    <w:p>
      <w:pPr>
        <w:pStyle w:val="FirstParagraph"/>
      </w:pPr>
      <w:r>
        <w:t xml:space="preserve">The Service Provider’s share capital and shareholding structure, its partners’ personal identification data, its company civil, central and file reference numbers, and its financial, banking and incorporation payment records are</w:t>
      </w:r>
      <w:r>
        <w:t xml:space="preserve"> </w:t>
      </w:r>
      <w:r>
        <w:rPr>
          <w:b/>
        </w:rPr>
        <w:t xml:space="preserve">confidential</w:t>
      </w:r>
      <w:r>
        <w:t xml:space="preserve"> </w:t>
      </w:r>
      <w:r>
        <w:t xml:space="preserve">and are not disclosed in this Agreement. Where the Client’s procurement or KYC process genuinely requires any of them, they are provided directly to the Client under a mutual non-disclosure undertaking.</w:t>
      </w:r>
    </w:p>
    <w:p>
      <w:pPr>
        <w:pStyle w:val="BodyText"/>
      </w:pPr>
      <w:r>
        <w:t xml:space="preserve">إن رأس مال مزود الخدمة وهيكل ملكيته، والبيانات الشخصية لشركائه، وأرقامه المدنية والمركزية وأرقام ملفاته، وسجلاته المالية والمصرفية وسجلات مدفوعات التأسيس، تُعدّ</w:t>
      </w:r>
      <w:r>
        <w:t xml:space="preserve"> </w:t>
      </w:r>
      <w:r>
        <w:rPr>
          <w:b/>
        </w:rPr>
        <w:t xml:space="preserve">معلومات سرية</w:t>
      </w:r>
      <w:r>
        <w:t xml:space="preserve"> </w:t>
      </w:r>
      <w:r>
        <w:t xml:space="preserve">ولا يتم الإفصاح عنها في هذه الاتفاقية. وفي حال احتاجت إجراءات الشراء أو «اعرف عميلك» لدى العميل أياً منها فعلياً، تُقدَّم له مباشرةً بموجب تعهّد متبادل بعدم الإفصاح.</w:t>
      </w:r>
    </w:p>
    <w:sectPr w:rsidR="00FC693F" w:rsidRPr="0006063C" w:rsidSect="00034616">
      <w:pgSz w:w="12240" w:h="15840"/>
      <w:pgMar w:top="1296" w:right="1368" w:bottom="1296" w:left="1368"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spacing w:after="140" w:line="269" w:lineRule="auto"/>
    </w:pPr>
    <w:rPr>
      <w:rFonts w:ascii="Calibri" w:hAnsi="Calibri"/>
      <w:color w:val="1A223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Georgia" w:hAnsi="Georgia"/>
      <w:b/>
      <w:bCs/>
      <w:color w:val="051C3C"/>
      <w:sz w:val="32"/>
      <w:szCs w:val="28"/>
    </w:rPr>
  </w:style>
  <w:style w:type="paragraph" w:styleId="Heading2">
    <w:name w:val="heading 2"/>
    <w:basedOn w:val="Normal"/>
    <w:next w:val="Normal"/>
    <w:link w:val="Heading2Char"/>
    <w:uiPriority w:val="9"/>
    <w:unhideWhenUsed/>
    <w:qFormat/>
    <w:rsid w:val="00FC693F"/>
    <w:pPr>
      <w:keepNext/>
      <w:keepLines/>
      <w:spacing w:before="260" w:after="100"/>
      <w:outlineLvl w:val="1"/>
    </w:pPr>
    <w:rPr>
      <w:rFonts w:asciiTheme="majorHAnsi" w:eastAsiaTheme="majorEastAsia" w:hAnsiTheme="majorHAnsi" w:cstheme="majorBidi" w:ascii="Georgia" w:hAnsi="Georgia"/>
      <w:b/>
      <w:bCs/>
      <w:color w:val="051C3C"/>
      <w:sz w:val="26"/>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Calibri" w:hAnsi="Calibri"/>
      <w:b/>
      <w:bCs/>
      <w:color w:val="051C3C"/>
      <w:sz w:val="23"/>
    </w:rPr>
  </w:style>
  <w:style w:type="paragraph" w:styleId="Heading4">
    <w:name w:val="heading 4"/>
    <w:basedOn w:val="Normal"/>
    <w:next w:val="Normal"/>
    <w:link w:val="Heading4Char"/>
    <w:uiPriority w:val="9"/>
    <w:semiHidden/>
    <w:unhideWhenUsed/>
    <w:qFormat/>
    <w:rsid w:val="00FC693F"/>
    <w:pPr>
      <w:keepNext/>
      <w:keepLines/>
      <w:spacing w:before="160" w:after="60"/>
      <w:outlineLvl w:val="3"/>
    </w:pPr>
    <w:rPr>
      <w:rFonts w:asciiTheme="majorHAnsi" w:eastAsiaTheme="majorEastAsia" w:hAnsiTheme="majorHAnsi" w:cstheme="majorBidi" w:ascii="Calibri" w:hAnsi="Calibri"/>
      <w:b/>
      <w:bCs/>
      <w:i/>
      <w:iCs/>
      <w:color w:val="5D627A"/>
      <w:sz w:val="21"/>
    </w:rPr>
  </w:style>
  <w:style w:type="paragraph" w:styleId="Heading5">
    <w:name w:val="heading 5"/>
    <w:basedOn w:val="Normal"/>
    <w:next w:val="Normal"/>
    <w:link w:val="Heading5Char"/>
    <w:uiPriority w:val="9"/>
    <w:semiHidden/>
    <w:unhideWhenUsed/>
    <w:qFormat/>
    <w:rsid w:val="00FC693F"/>
    <w:pPr>
      <w:keepNext/>
      <w:keepLines/>
      <w:spacing w:before="160" w:after="60"/>
      <w:outlineLvl w:val="4"/>
    </w:pPr>
    <w:rPr>
      <w:rFonts w:asciiTheme="majorHAnsi" w:eastAsiaTheme="majorEastAsia" w:hAnsiTheme="majorHAnsi" w:cstheme="majorBidi" w:ascii="Calibri" w:hAnsi="Calibri"/>
      <w:b/>
      <w:color w:val="5D627A"/>
      <w:sz w:val="21"/>
    </w:rPr>
  </w:style>
  <w:style w:type="paragraph" w:styleId="Heading6">
    <w:name w:val="heading 6"/>
    <w:basedOn w:val="Normal"/>
    <w:next w:val="Normal"/>
    <w:link w:val="Heading6Char"/>
    <w:uiPriority w:val="9"/>
    <w:semiHidden/>
    <w:unhideWhenUsed/>
    <w:qFormat/>
    <w:rsid w:val="00FC693F"/>
    <w:pPr>
      <w:keepNext/>
      <w:keepLines/>
      <w:spacing w:before="160" w:after="60"/>
      <w:outlineLvl w:val="5"/>
    </w:pPr>
    <w:rPr>
      <w:rFonts w:asciiTheme="majorHAnsi" w:eastAsiaTheme="majorEastAsia" w:hAnsiTheme="majorHAnsi" w:cstheme="majorBidi" w:ascii="Calibri" w:hAnsi="Calibri"/>
      <w:b/>
      <w:i/>
      <w:iCs/>
      <w:color w:val="5D627A"/>
      <w:sz w:val="2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val="0"/>
      <w:pBdr>
        <w:bottom w:val="single" w:sz="8" w:space="4" w:color="4F81BD" w:themeColor="accent1"/>
      </w:pBdr>
      <w:spacing w:after="80" w:line="240" w:lineRule="auto"/>
      <w:contextualSpacing/>
      <w:jc w:val="left"/>
    </w:pPr>
    <w:rPr>
      <w:rFonts w:asciiTheme="majorHAnsi" w:eastAsiaTheme="majorEastAsia" w:hAnsiTheme="majorHAnsi" w:cstheme="majorBidi" w:ascii="Georgia" w:hAnsi="Georgia"/>
      <w:b/>
      <w:color w:val="051C3C"/>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val="0"/>
      <w:numPr>
        <w:ilvl w:val="1"/>
      </w:numPr>
      <w:spacing w:after="200"/>
    </w:pPr>
    <w:rPr>
      <w:rFonts w:asciiTheme="majorHAnsi" w:eastAsiaTheme="majorEastAsia" w:hAnsiTheme="majorHAnsi" w:cstheme="majorBidi" w:ascii="Calibri" w:hAnsi="Calibri"/>
      <w:b w:val="0"/>
      <w:i/>
      <w:iCs/>
      <w:color w:val="5D627A"/>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keepNext w:val="0"/>
    </w:pPr>
    <w:rPr>
      <w:rFonts w:ascii="Calibri" w:hAnsi="Calibri"/>
      <w:i/>
      <w:iCs/>
      <w:color w:val="5D627A"/>
      <w:sz w:val="2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Dexor — Professional Services Agreement · Benaa Base Company · DX-2026-011</dc:title>
  <dc:creator/>
  <dc:language>en</dc:language>
  <cp:keywords/>
  <dcterms:created xsi:type="dcterms:W3CDTF">2026-08-03T13:39:38Z</dcterms:created>
  <dcterms:modified xsi:type="dcterms:W3CDTF">2026-08-03T13:39:38Z</dcterms:modified>
</cp:coreProperties>
</file>

<file path=docProps/custom.xml><?xml version="1.0" encoding="utf-8"?>
<Properties xmlns="http://schemas.openxmlformats.org/officeDocument/2006/custom-properties" xmlns:vt="http://schemas.openxmlformats.org/officeDocument/2006/docPropsVTypes"/>
</file>