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Odoo</w:t>
      </w:r>
      <w:r>
        <w:t xml:space="preserve"> </w:t>
      </w:r>
      <w:r>
        <w:t xml:space="preserve">ERP</w:t>
      </w:r>
      <w:r>
        <w:t xml:space="preserve"> </w:t>
      </w:r>
      <w:r>
        <w:t xml:space="preserve">Implementation</w:t>
      </w:r>
      <w:r>
        <w:t xml:space="preserve"> </w:t>
      </w:r>
      <w:r>
        <w:t xml:space="preserve">Proposal</w:t>
      </w:r>
      <w:r>
        <w:t xml:space="preserve"> </w:t>
      </w:r>
      <w:r>
        <w:t xml:space="preserve">·</w:t>
      </w:r>
      <w:r>
        <w:t xml:space="preserve"> </w:t>
      </w:r>
      <w:r>
        <w:t xml:space="preserve">Kuwait</w:t>
      </w:r>
      <w:r>
        <w:t xml:space="preserve"> </w:t>
      </w:r>
      <w:r>
        <w:t xml:space="preserve">Steel</w:t>
      </w:r>
      <w:r>
        <w:t xml:space="preserve"> </w:t>
      </w:r>
      <w:r>
        <w:t xml:space="preserve">Industries</w:t>
      </w:r>
      <w:r>
        <w:t xml:space="preserve"> </w:t>
      </w:r>
      <w:r>
        <w:t xml:space="preserve">Co.</w:t>
      </w:r>
      <w:r>
        <w:t xml:space="preserve"> </w:t>
      </w:r>
      <w:r>
        <w:t xml:space="preserve">·</w:t>
      </w:r>
      <w:r>
        <w:t xml:space="preserve"> </w:t>
      </w:r>
      <w:r>
        <w:t xml:space="preserve">DX-2026-008</w:t>
      </w:r>
    </w:p>
    <w:p>
      <w:pPr>
        <w:pStyle w:val="Heading1"/>
      </w:pPr>
      <w:bookmarkStart w:id="20" w:name="X0ccb84e4f52c48a480cf0c157aa181bac86e649"/>
      <w:r>
        <w:t xml:space="preserve">Odoo ERP Implementation Proposal — Kuwait Steel Industries Co.</w:t>
      </w:r>
      <w:bookmarkEnd w:id="20"/>
    </w:p>
    <w:p>
      <w:pPr>
        <w:pStyle w:val="FirstParagraph"/>
      </w:pPr>
      <w:r>
        <w:rPr>
          <w:b/>
        </w:rPr>
        <w:t xml:space="preserve">Quotation reference DX-2026-008</w:t>
      </w:r>
      <w:r>
        <w:t xml:space="preserve"> </w:t>
      </w:r>
      <w:r>
        <w:t xml:space="preserve">· Date 3 August 2026 · Valid until 2 September 2026 · Kuwait</w:t>
      </w:r>
    </w:p>
    <w:p>
      <w:pPr>
        <w:pStyle w:val="BodyText"/>
      </w:pPr>
      <w:r>
        <w:rPr>
          <w:b/>
        </w:rPr>
        <w:t xml:space="preserve">مرجع عرض السعر DX-2026-008</w:t>
      </w:r>
      <w:r>
        <w:t xml:space="preserve"> </w:t>
      </w:r>
      <w:r>
        <w:t xml:space="preserve">· التاريخ 3 أغسطس 2026 · صالح حتى 2 سبتمبر 2026 · الكويت</w:t>
      </w:r>
    </w:p>
    <w:p>
      <w:pPr>
        <w:pStyle w:val="BodyText"/>
      </w:pPr>
      <w:r>
        <w:t xml:space="preserve">Prepared by Dexor Integrated Computer Solutions Co. W.L.L., Commercial Register 551952, trade licence 2026/14049, Al Salam Tower (Awqaf Bldg. 2405), 16th Floor, Office 8 — Fahad Al-Salem Street, Qibla, Capital Governorate, Kuwait City. info@dexor.ae · +20 15 501 42 885 · www.dexor.ae</w:t>
      </w:r>
    </w:p>
    <w:p>
      <w:pPr>
        <w:pStyle w:val="BodyText"/>
      </w:pPr>
      <w:r>
        <w:t xml:space="preserve">مُعدّ من شركة ديكسور للحلول المتكاملة الحاسوبية ذ.م.م، السجل التجاري 551952، الترخيص التجاري 2026/14049، برج السلام (مبنى وزارة الأوقاف رقم 2405)، الدور 16، مكتب 8 — شارع فهد السالم، القبلة، محافظة العاصمة، مدينة الكويت. info@dexor.ae · +20 15 501 42 885 · www.dexor.ae</w:t>
      </w:r>
    </w:p>
    <w:p>
      <w:pPr>
        <w:pStyle w:val="BodyText"/>
      </w:pPr>
      <w:r>
        <w:t xml:space="preserve">A single integrated platform for Kuwait Steel Industries Co. — rolling mill, fabrication plant and yard in one system, one database and one cost model, so that the cost of a tonne of steel is known on the day it is rolled rather than at the end of the quarter. The scope covers 7 modules for up to 30 named users, delivered in approximately 12–16 weeks with 12 months of support.</w:t>
      </w:r>
    </w:p>
    <w:p>
      <w:pPr>
        <w:pStyle w:val="BodyText"/>
      </w:pPr>
      <w:r>
        <w:t xml:space="preserve">منصة واحدة متكاملة لـشركة صناعات الحديد الكويتية — مصنع الدرفلة وورشة التشكيل والساحة في نظام واحد وقاعدة بيانات واحدة ونموذج تكلفة واحد، بحيث تُعرف تكلفة طن الحديد في يوم درفلته لا في نهاية الربع. يغطي النطاق 7 وحدات لعدد يصل إلى 30 مستخدماً مسمّى، تُنفَّذ خلال 12–16 أسبوعاً تقريباً مع 12 شهراً من الدعم.</w:t>
      </w:r>
    </w:p>
    <w:p>
      <w:pPr>
        <w:pStyle w:val="Heading2"/>
      </w:pPr>
      <w:bookmarkStart w:id="21" w:name="Xf657370ec4eeb8223bf95217b1665d76f10d376"/>
      <w:r>
        <w:t xml:space="preserve">1. Executive summary — what this proposal is answering</w:t>
      </w:r>
      <w:bookmarkEnd w:id="21"/>
    </w:p>
    <w:p>
      <w:pPr>
        <w:pStyle w:val="FirstParagraph"/>
      </w:pPr>
      <w:r>
        <w:rPr>
          <w:b/>
        </w:rPr>
        <w:t xml:space="preserve">1. الملخص التنفيذي — ما الذي يعالجه هذا العرض</w:t>
      </w:r>
    </w:p>
    <w:p>
      <w:pPr>
        <w:pStyle w:val="BodyText"/>
      </w:pPr>
      <w:r>
        <w:t xml:space="preserve">Kuwait Steel Industries Co. does not have a reporting problem. It has a timing problem: the numbers that decide whether a tonne was sold profitably arrive after the decisions that depended on them have already been taken. This proposal is built to close that gap first.</w:t>
      </w:r>
    </w:p>
    <w:p>
      <w:pPr>
        <w:pStyle w:val="BodyText"/>
      </w:pPr>
      <w:r>
        <w:t xml:space="preserve">لا تعاني شركة صناعات الحديد الكويتية من مشكلة تقارير، بل من مشكلة توقيت: الأرقام التي تحدد ما إذا كان الطن قد بيع بربح تصل بعد أن تكون القرارات المعتمدة عليها قد اتُّخذت فعلاً. وقد بُني هذا العرض ليغلق هذه الفجوة أولاً.</w:t>
      </w:r>
    </w:p>
    <w:p>
      <w:pPr>
        <w:numPr>
          <w:ilvl w:val="0"/>
          <w:numId w:val="1001"/>
        </w:numPr>
        <w:pStyle w:val="Compact"/>
      </w:pPr>
      <w:r>
        <w:rPr>
          <w:b/>
        </w:rPr>
        <w:t xml:space="preserve">Costing that keeps pace with production</w:t>
      </w:r>
      <w:r>
        <w:t xml:space="preserve"> </w:t>
      </w:r>
      <w:r>
        <w:t xml:space="preserve">— job costing prepared in a spreadsheet a month after the event is replaced by cost that assembles itself from the transactions: billets issued, hours run, tonnes produced, offcuts returned.</w:t>
      </w:r>
    </w:p>
    <w:p>
      <w:pPr>
        <w:numPr>
          <w:ilvl w:val="0"/>
          <w:numId w:val="1001"/>
        </w:numPr>
        <w:pStyle w:val="Compact"/>
      </w:pPr>
      <w:r>
        <w:rPr>
          <w:b/>
        </w:rPr>
        <w:t xml:space="preserve">Inventory valued as it moves</w:t>
      </w:r>
      <w:r>
        <w:t xml:space="preserve"> </w:t>
      </w:r>
      <w:r>
        <w:t xml:space="preserve">— billet, work in progress, finished bundles and recoverable scrap are valued in the ledger at the moment they move, so the stock account, the yard and the audit file agree.</w:t>
      </w:r>
    </w:p>
    <w:p>
      <w:pPr>
        <w:numPr>
          <w:ilvl w:val="0"/>
          <w:numId w:val="1001"/>
        </w:numPr>
        <w:pStyle w:val="Compact"/>
      </w:pPr>
      <w:r>
        <w:rPr>
          <w:b/>
        </w:rPr>
        <w:t xml:space="preserve">Scrap and offcuts given a value</w:t>
      </w:r>
      <w:r>
        <w:t xml:space="preserve"> </w:t>
      </w:r>
      <w:r>
        <w:t xml:space="preserve">— recoverable material is booked back into stock at a rate, then re-rolled, sold or written off as a recorded decision.</w:t>
      </w:r>
    </w:p>
    <w:p>
      <w:pPr>
        <w:numPr>
          <w:ilvl w:val="0"/>
          <w:numId w:val="1001"/>
        </w:numPr>
        <w:pStyle w:val="Compact"/>
      </w:pPr>
      <w:r>
        <w:rPr>
          <w:b/>
        </w:rPr>
        <w:t xml:space="preserve">One version of the margin</w:t>
      </w:r>
      <w:r>
        <w:t xml:space="preserve"> </w:t>
      </w:r>
      <w:r>
        <w:t xml:space="preserve">— sales quote against the live cost per tonne, so a thin deal is visible before signature rather than after the quarter closes.</w:t>
      </w:r>
    </w:p>
    <w:p>
      <w:pPr>
        <w:numPr>
          <w:ilvl w:val="0"/>
          <w:numId w:val="1002"/>
        </w:numPr>
        <w:pStyle w:val="Compact"/>
      </w:pPr>
      <w:r>
        <w:rPr>
          <w:b/>
        </w:rPr>
        <w:t xml:space="preserve">احتساب تكلفة يواكب الإنتاج</w:t>
      </w:r>
      <w:r>
        <w:t xml:space="preserve"> </w:t>
      </w:r>
      <w:r>
        <w:t xml:space="preserve">— يُستبدل جدول التكاليف الذي يُعدّ بعد شهر من الحدث بتكلفة تتكوّن من الحركات نفسها: البيليت المصروف وساعات التشغيل والأطنان المنتَجة والقصاصات المرتجعة.</w:t>
      </w:r>
    </w:p>
    <w:p>
      <w:pPr>
        <w:numPr>
          <w:ilvl w:val="0"/>
          <w:numId w:val="1002"/>
        </w:numPr>
        <w:pStyle w:val="Compact"/>
      </w:pPr>
      <w:r>
        <w:rPr>
          <w:b/>
        </w:rPr>
        <w:t xml:space="preserve">مخزون يُقيَّم أثناء حركته</w:t>
      </w:r>
      <w:r>
        <w:t xml:space="preserve"> </w:t>
      </w:r>
      <w:r>
        <w:t xml:space="preserve">— البيليت والإنتاج تحت التشغيل والرزم الجاهزة والخردة القابلة للاسترداد تُقيَّم في دفتر الأستاذ لحظة حركتها، فيتطابق حساب المخزون والساحة وملف التدقيق.</w:t>
      </w:r>
    </w:p>
    <w:p>
      <w:pPr>
        <w:numPr>
          <w:ilvl w:val="0"/>
          <w:numId w:val="1002"/>
        </w:numPr>
        <w:pStyle w:val="Compact"/>
      </w:pPr>
      <w:r>
        <w:rPr>
          <w:b/>
        </w:rPr>
        <w:t xml:space="preserve">قيمة للخردة والقصاصات</w:t>
      </w:r>
      <w:r>
        <w:t xml:space="preserve"> </w:t>
      </w:r>
      <w:r>
        <w:t xml:space="preserve">— تُقيَّد المواد القابلة للاسترداد في المخزون بسعر، ثم يُعاد درفلتها أو تُباع أو تُشطب كقرار مسجَّل.</w:t>
      </w:r>
    </w:p>
    <w:p>
      <w:pPr>
        <w:numPr>
          <w:ilvl w:val="0"/>
          <w:numId w:val="1002"/>
        </w:numPr>
        <w:pStyle w:val="Compact"/>
      </w:pPr>
      <w:r>
        <w:rPr>
          <w:b/>
        </w:rPr>
        <w:t xml:space="preserve">نسخة واحدة من الهامش</w:t>
      </w:r>
      <w:r>
        <w:t xml:space="preserve"> </w:t>
      </w:r>
      <w:r>
        <w:t xml:space="preserve">— تُسعّر المبيعات مقابل التكلفة الحيّة للطن، فتظهر الصفقة ضعيفة الهامش قبل التوقيع لا بعد إقفال الربع.</w:t>
      </w:r>
    </w:p>
    <w:p>
      <w:pPr>
        <w:pStyle w:val="FirstParagraph"/>
      </w:pPr>
      <w:r>
        <w:rPr>
          <w:b/>
        </w:rPr>
        <w:t xml:space="preserve">What is not included:</w:t>
      </w:r>
      <w:r>
        <w:t xml:space="preserve"> </w:t>
      </w:r>
      <w:r>
        <w:t xml:space="preserve">hosting fees, Odoo Enterprise licences and third-party subscriptions are paid by the client directly to the relevant provider, separately from this quotation.</w:t>
      </w:r>
    </w:p>
    <w:p>
      <w:pPr>
        <w:pStyle w:val="BodyText"/>
      </w:pPr>
      <w:r>
        <w:rPr>
          <w:b/>
        </w:rPr>
        <w:t xml:space="preserve">غير المشمول:</w:t>
      </w:r>
      <w:r>
        <w:t xml:space="preserve"> </w:t>
      </w:r>
      <w:r>
        <w:t xml:space="preserve">رسوم الاستضافة وتراخيص Odoo Enterprise والاشتراكات مع أطراف ثالثة يدفعها العميل مباشرة إلى مزوّد الخدمة، بشكل منفصل عن هذا العرض.</w:t>
      </w:r>
    </w:p>
    <w:p>
      <w:pPr>
        <w:pStyle w:val="Heading2"/>
      </w:pPr>
      <w:bookmarkStart w:id="22" w:name="Xa3678eed077ce2c80e1d15b8088b2289e91d155"/>
      <w:r>
        <w:t xml:space="preserve">2. The case for change — where the cost is leaking today</w:t>
      </w:r>
      <w:bookmarkEnd w:id="22"/>
    </w:p>
    <w:p>
      <w:pPr>
        <w:pStyle w:val="FirstParagraph"/>
      </w:pPr>
      <w:r>
        <w:rPr>
          <w:b/>
        </w:rPr>
        <w:t xml:space="preserve">2. مبررات التغيير — أين تتسرب التكلفة اليوم</w:t>
      </w:r>
    </w:p>
    <w:tbl>
      <w:tblPr>
        <w:tblStyle w:val="Table"/>
        <w:tblW w:type="pct" w:w="0.0"/>
        <w:tblLook w:firstRow="1"/>
      </w:tblPr>
      <w:tblGrid/>
      <w:tr>
        <w:trPr>
          <w:cnfStyle w:firstRow="1"/>
        </w:trPr>
        <w:tc>
          <w:tcPr>
            <w:tcBorders>
              <w:bottom w:val="single"/>
            </w:tcBorders>
            <w:vAlign w:val="bottom"/>
          </w:tcPr>
          <w:p>
            <w:pPr>
              <w:pStyle w:val="Compact"/>
              <w:jc w:val="left"/>
            </w:pPr>
            <w:r>
              <w:t xml:space="preserve">Today</w:t>
            </w:r>
          </w:p>
        </w:tc>
        <w:tc>
          <w:tcPr>
            <w:tcBorders>
              <w:bottom w:val="single"/>
            </w:tcBorders>
            <w:vAlign w:val="bottom"/>
          </w:tcPr>
          <w:p>
            <w:pPr>
              <w:pStyle w:val="Compact"/>
              <w:jc w:val="left"/>
            </w:pPr>
            <w:r>
              <w:t xml:space="preserve">After implementation</w:t>
            </w:r>
          </w:p>
        </w:tc>
      </w:tr>
      <w:tr>
        <w:tc>
          <w:p>
            <w:pPr>
              <w:pStyle w:val="Compact"/>
              <w:jc w:val="left"/>
            </w:pPr>
            <w:r>
              <w:t xml:space="preserve">Job costing is compiled in Excel roughly a month after the work was done.</w:t>
            </w:r>
          </w:p>
        </w:tc>
        <w:tc>
          <w:p>
            <w:pPr>
              <w:pStyle w:val="Compact"/>
              <w:jc w:val="left"/>
            </w:pPr>
            <w:r>
              <w:t xml:space="preserve">Cost is assembled by the transactions themselves; a production order closes with its own actual cost the same day it finishes.</w:t>
            </w:r>
          </w:p>
        </w:tc>
      </w:tr>
      <w:tr>
        <w:tc>
          <w:p>
            <w:pPr>
              <w:pStyle w:val="Compact"/>
              <w:jc w:val="left"/>
            </w:pPr>
            <w:r>
              <w:t xml:space="preserve">The real cost per tonne only appears when the quarter closes.</w:t>
            </w:r>
          </w:p>
        </w:tc>
        <w:tc>
          <w:p>
            <w:pPr>
              <w:pStyle w:val="Compact"/>
              <w:jc w:val="left"/>
            </w:pPr>
            <w:r>
              <w:t xml:space="preserve">Cost per tonne by product, order and shift is a live report, with variance split into material, yield, labour and burden.</w:t>
            </w:r>
          </w:p>
        </w:tc>
      </w:tr>
      <w:tr>
        <w:tc>
          <w:p>
            <w:pPr>
              <w:pStyle w:val="Compact"/>
              <w:jc w:val="left"/>
            </w:pPr>
            <w:r>
              <w:t xml:space="preserve">Scrap, crop ends and offcuts leave the plant without carrying a value.</w:t>
            </w:r>
          </w:p>
        </w:tc>
        <w:tc>
          <w:p>
            <w:pPr>
              <w:pStyle w:val="Compact"/>
              <w:jc w:val="left"/>
            </w:pPr>
            <w:r>
              <w:t xml:space="preserve">Recoverable material is weighed back into a valued stock location and re-rolled, sold or written off, with the recovered value reported.</w:t>
            </w:r>
          </w:p>
        </w:tc>
      </w:tr>
      <w:tr>
        <w:tc>
          <w:p>
            <w:pPr>
              <w:pStyle w:val="Compact"/>
              <w:jc w:val="left"/>
            </w:pPr>
            <w:r>
              <w:t xml:space="preserve">Each department keeps its own version of the truth in a separate file.</w:t>
            </w:r>
          </w:p>
        </w:tc>
        <w:tc>
          <w:p>
            <w:pPr>
              <w:pStyle w:val="Compact"/>
              <w:jc w:val="left"/>
            </w:pPr>
            <w:r>
              <w:t xml:space="preserve">One database — the yard, the mill, procurement, sales and finance write to the same records.</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الوضع اليوم</w:t>
            </w:r>
          </w:p>
        </w:tc>
        <w:tc>
          <w:tcPr>
            <w:tcBorders>
              <w:bottom w:val="single"/>
            </w:tcBorders>
            <w:vAlign w:val="bottom"/>
          </w:tcPr>
          <w:p>
            <w:pPr>
              <w:pStyle w:val="Compact"/>
              <w:jc w:val="left"/>
            </w:pPr>
            <w:r>
              <w:t xml:space="preserve">بعد التنفيذ</w:t>
            </w:r>
          </w:p>
        </w:tc>
      </w:tr>
      <w:tr>
        <w:tc>
          <w:p>
            <w:pPr>
              <w:pStyle w:val="Compact"/>
              <w:jc w:val="left"/>
            </w:pPr>
            <w:r>
              <w:t xml:space="preserve">تُجمَّع تكاليف أوامر التشغيل في إكسل بعد نحو شهر من تنفيذ العمل.</w:t>
            </w:r>
          </w:p>
        </w:tc>
        <w:tc>
          <w:p>
            <w:pPr>
              <w:pStyle w:val="Compact"/>
              <w:jc w:val="left"/>
            </w:pPr>
            <w:r>
              <w:t xml:space="preserve">تتكوّن التكلفة من الحركات نفسها، ويُقفل أمر التشغيل بتكلفته الفعلية في اليوم نفسه الذي ينتهي فيه.</w:t>
            </w:r>
          </w:p>
        </w:tc>
      </w:tr>
      <w:tr>
        <w:tc>
          <w:p>
            <w:pPr>
              <w:pStyle w:val="Compact"/>
              <w:jc w:val="left"/>
            </w:pPr>
            <w:r>
              <w:t xml:space="preserve">لا تظهر تكلفة الطن الحقيقية إلا عند إقفال الربع.</w:t>
            </w:r>
          </w:p>
        </w:tc>
        <w:tc>
          <w:p>
            <w:pPr>
              <w:pStyle w:val="Compact"/>
              <w:jc w:val="left"/>
            </w:pPr>
            <w:r>
              <w:t xml:space="preserve">تكلفة الطن حسب المنتج والأمر والوردية تقرير حيّ، مع تفصيل الانحراف إلى مواد وعائد وعمالة وتحميل.</w:t>
            </w:r>
          </w:p>
        </w:tc>
      </w:tr>
      <w:tr>
        <w:tc>
          <w:p>
            <w:pPr>
              <w:pStyle w:val="Compact"/>
              <w:jc w:val="left"/>
            </w:pPr>
            <w:r>
              <w:t xml:space="preserve">تغادر الخردة وأطراف القص والقصاصات المصنع دون أن تحمل قيمة.</w:t>
            </w:r>
          </w:p>
        </w:tc>
        <w:tc>
          <w:p>
            <w:pPr>
              <w:pStyle w:val="Compact"/>
              <w:jc w:val="left"/>
            </w:pPr>
            <w:r>
              <w:t xml:space="preserve">تُوزن المواد القابلة للاسترداد عند إرجاعها إلى موقع مخزون مقيَّم ثم يُعاد درفلتها أو تُباع أو تُشطب مع تقرير القيمة المستردة.</w:t>
            </w:r>
          </w:p>
        </w:tc>
      </w:tr>
      <w:tr>
        <w:tc>
          <w:p>
            <w:pPr>
              <w:pStyle w:val="Compact"/>
              <w:jc w:val="left"/>
            </w:pPr>
            <w:r>
              <w:t xml:space="preserve">يحتفظ كل قسم بنسخته الخاصة من الحقيقة في ملف منفصل.</w:t>
            </w:r>
          </w:p>
        </w:tc>
        <w:tc>
          <w:p>
            <w:pPr>
              <w:pStyle w:val="Compact"/>
              <w:jc w:val="left"/>
            </w:pPr>
            <w:r>
              <w:t xml:space="preserve">قاعدة بيانات واحدة — الساحة والمصنع والمشتريات والمبيعات والمالية تكتب في السجلات نفسها.</w:t>
            </w:r>
          </w:p>
        </w:tc>
      </w:tr>
    </w:tbl>
    <w:p>
      <w:pPr>
        <w:pStyle w:val="Heading2"/>
      </w:pPr>
      <w:bookmarkStart w:id="23" w:name="scope-modules-included-in-this-proposal"/>
      <w:r>
        <w:t xml:space="preserve">3. Scope — modules included in this proposal</w:t>
      </w:r>
      <w:bookmarkEnd w:id="23"/>
    </w:p>
    <w:p>
      <w:pPr>
        <w:pStyle w:val="FirstParagraph"/>
      </w:pPr>
      <w:r>
        <w:rPr>
          <w:b/>
        </w:rPr>
        <w:t xml:space="preserve">3. النطاق — الوحدات المشمولة في هذا العرض</w:t>
      </w:r>
    </w:p>
    <w:p>
      <w:pPr>
        <w:pStyle w:val="BodyText"/>
      </w:pPr>
      <w:r>
        <w:t xml:space="preserve">The order is deliberate: costing and valuation are implemented first because everything else prices off them.</w:t>
      </w:r>
    </w:p>
    <w:p>
      <w:pPr>
        <w:pStyle w:val="BodyText"/>
      </w:pPr>
      <w:r>
        <w:t xml:space="preserve">الترتيب مقصود: تُنفَّذ التكلفة والتقييم أولاً لأن كل ما عداهما يُسعَّر بناءً عليهما.</w:t>
      </w:r>
    </w:p>
    <w:tbl>
      <w:tblPr>
        <w:tblStyle w:val="Table"/>
        <w:tblW w:type="pct" w:w="0.0"/>
        <w:tblLook w:firstRow="1"/>
      </w:tblPr>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Module</w:t>
            </w:r>
          </w:p>
        </w:tc>
        <w:tc>
          <w:tcPr>
            <w:tcBorders>
              <w:bottom w:val="single"/>
            </w:tcBorders>
            <w:vAlign w:val="bottom"/>
          </w:tcPr>
          <w:p>
            <w:pPr>
              <w:pStyle w:val="Compact"/>
              <w:jc w:val="left"/>
            </w:pPr>
            <w:r>
              <w:t xml:space="preserve">Coverage</w:t>
            </w:r>
          </w:p>
        </w:tc>
      </w:tr>
      <w:tr>
        <w:tc>
          <w:p>
            <w:pPr>
              <w:pStyle w:val="Compact"/>
              <w:jc w:val="left"/>
            </w:pPr>
            <w:r>
              <w:t xml:space="preserve">01</w:t>
            </w:r>
          </w:p>
        </w:tc>
        <w:tc>
          <w:p>
            <w:pPr>
              <w:pStyle w:val="Compact"/>
              <w:jc w:val="left"/>
            </w:pPr>
            <w:r>
              <w:t xml:space="preserve">Manufacturing, Job Costing &amp; Cost per Tonne</w:t>
            </w:r>
          </w:p>
        </w:tc>
        <w:tc>
          <w:p>
            <w:pPr>
              <w:pStyle w:val="Compact"/>
              <w:jc w:val="left"/>
            </w:pPr>
            <w:r>
              <w:t xml:space="preserve">Bills of material, work orders, yield capture and a true cost per tonne closed daily</w:t>
            </w:r>
          </w:p>
        </w:tc>
      </w:tr>
      <w:tr>
        <w:tc>
          <w:p>
            <w:pPr>
              <w:pStyle w:val="Compact"/>
              <w:jc w:val="left"/>
            </w:pPr>
            <w:r>
              <w:t xml:space="preserve">02</w:t>
            </w:r>
          </w:p>
        </w:tc>
        <w:tc>
          <w:p>
            <w:pPr>
              <w:pStyle w:val="Compact"/>
              <w:jc w:val="left"/>
            </w:pPr>
            <w:r>
              <w:t xml:space="preserve">Inventory, Yard &amp; Stock Valuation</w:t>
            </w:r>
          </w:p>
        </w:tc>
        <w:tc>
          <w:p>
            <w:pPr>
              <w:pStyle w:val="Compact"/>
              <w:jc w:val="left"/>
            </w:pPr>
            <w:r>
              <w:t xml:space="preserve">Heat-number traceability, weight-based stock and perpetual valuation posted to the ledger</w:t>
            </w:r>
          </w:p>
        </w:tc>
      </w:tr>
      <w:tr>
        <w:tc>
          <w:p>
            <w:pPr>
              <w:pStyle w:val="Compact"/>
              <w:jc w:val="left"/>
            </w:pPr>
            <w:r>
              <w:t xml:space="preserve">03</w:t>
            </w:r>
          </w:p>
        </w:tc>
        <w:tc>
          <w:p>
            <w:pPr>
              <w:pStyle w:val="Compact"/>
              <w:jc w:val="left"/>
            </w:pPr>
            <w:r>
              <w:t xml:space="preserve">Accounting &amp; Finance</w:t>
            </w:r>
          </w:p>
        </w:tc>
        <w:tc>
          <w:p>
            <w:pPr>
              <w:pStyle w:val="Compact"/>
              <w:jc w:val="left"/>
            </w:pPr>
            <w:r>
              <w:t xml:space="preserve">Full ledger, cost centres, landed cost, receivables, assets and statutory reporting</w:t>
            </w:r>
          </w:p>
        </w:tc>
      </w:tr>
      <w:tr>
        <w:tc>
          <w:p>
            <w:pPr>
              <w:pStyle w:val="Compact"/>
              <w:jc w:val="left"/>
            </w:pPr>
            <w:r>
              <w:t xml:space="preserve">04</w:t>
            </w:r>
          </w:p>
        </w:tc>
        <w:tc>
          <w:p>
            <w:pPr>
              <w:pStyle w:val="Compact"/>
              <w:jc w:val="left"/>
            </w:pPr>
            <w:r>
              <w:t xml:space="preserve">Purchase &amp; Procurement</w:t>
            </w:r>
          </w:p>
        </w:tc>
        <w:tc>
          <w:p>
            <w:pPr>
              <w:pStyle w:val="Compact"/>
              <w:jc w:val="left"/>
            </w:pPr>
            <w:r>
              <w:t xml:space="preserve">Requests, RFQs, import landed cost, vendor agreements and three-way matching</w:t>
            </w:r>
          </w:p>
        </w:tc>
      </w:tr>
      <w:tr>
        <w:tc>
          <w:p>
            <w:pPr>
              <w:pStyle w:val="Compact"/>
              <w:jc w:val="left"/>
            </w:pPr>
            <w:r>
              <w:t xml:space="preserve">05</w:t>
            </w:r>
          </w:p>
        </w:tc>
        <w:tc>
          <w:p>
            <w:pPr>
              <w:pStyle w:val="Compact"/>
              <w:jc w:val="left"/>
            </w:pPr>
            <w:r>
              <w:t xml:space="preserve">Sales &amp; Order Management</w:t>
            </w:r>
          </w:p>
        </w:tc>
        <w:tc>
          <w:p>
            <w:pPr>
              <w:pStyle w:val="Compact"/>
              <w:jc w:val="left"/>
            </w:pPr>
            <w:r>
              <w:t xml:space="preserve">Tonne pricing with extras, live margin, call-off contracts and delivery on weighed quantity</w:t>
            </w:r>
          </w:p>
        </w:tc>
      </w:tr>
      <w:tr>
        <w:tc>
          <w:p>
            <w:pPr>
              <w:pStyle w:val="Compact"/>
              <w:jc w:val="left"/>
            </w:pPr>
            <w:r>
              <w:t xml:space="preserve">06</w:t>
            </w:r>
          </w:p>
        </w:tc>
        <w:tc>
          <w:p>
            <w:pPr>
              <w:pStyle w:val="Compact"/>
              <w:jc w:val="left"/>
            </w:pPr>
            <w:r>
              <w:t xml:space="preserve">CRM &amp; Marketing</w:t>
            </w:r>
          </w:p>
        </w:tc>
        <w:tc>
          <w:p>
            <w:pPr>
              <w:pStyle w:val="Compact"/>
              <w:jc w:val="left"/>
            </w:pPr>
            <w:r>
              <w:t xml:space="preserve">Enquiries, tender and project pipeline, tonnage forecast and win/loss analysis</w:t>
            </w:r>
          </w:p>
        </w:tc>
      </w:tr>
      <w:tr>
        <w:tc>
          <w:p>
            <w:pPr>
              <w:pStyle w:val="Compact"/>
              <w:jc w:val="left"/>
            </w:pPr>
            <w:r>
              <w:t xml:space="preserve">07</w:t>
            </w:r>
          </w:p>
        </w:tc>
        <w:tc>
          <w:p>
            <w:pPr>
              <w:pStyle w:val="Compact"/>
              <w:jc w:val="left"/>
            </w:pPr>
            <w:r>
              <w:t xml:space="preserve">Analytics &amp; Dashboards</w:t>
            </w:r>
          </w:p>
        </w:tc>
        <w:tc>
          <w:p>
            <w:pPr>
              <w:pStyle w:val="Compact"/>
              <w:jc w:val="left"/>
            </w:pPr>
            <w:r>
              <w:t xml:space="preserve">A CFO cockpit on live transactions, with drill-down to the document behind every figure</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الوحدة</w:t>
            </w:r>
          </w:p>
        </w:tc>
        <w:tc>
          <w:tcPr>
            <w:tcBorders>
              <w:bottom w:val="single"/>
            </w:tcBorders>
            <w:vAlign w:val="bottom"/>
          </w:tcPr>
          <w:p>
            <w:pPr>
              <w:pStyle w:val="Compact"/>
              <w:jc w:val="left"/>
            </w:pPr>
            <w:r>
              <w:t xml:space="preserve">التغطية</w:t>
            </w:r>
          </w:p>
        </w:tc>
      </w:tr>
      <w:tr>
        <w:tc>
          <w:p>
            <w:pPr>
              <w:pStyle w:val="Compact"/>
              <w:jc w:val="left"/>
            </w:pPr>
            <w:r>
              <w:t xml:space="preserve">01</w:t>
            </w:r>
          </w:p>
        </w:tc>
        <w:tc>
          <w:p>
            <w:pPr>
              <w:pStyle w:val="Compact"/>
              <w:jc w:val="left"/>
            </w:pPr>
            <w:r>
              <w:t xml:space="preserve">التصنيع وتكلفة أوامر التشغيل وتكلفة الطن</w:t>
            </w:r>
          </w:p>
        </w:tc>
        <w:tc>
          <w:p>
            <w:pPr>
              <w:pStyle w:val="Compact"/>
              <w:jc w:val="left"/>
            </w:pPr>
            <w:r>
              <w:t xml:space="preserve">قوائم المواد وأوامر التشغيل واحتساب العادم وتكلفة حقيقية للطن تُقفل يومياً</w:t>
            </w:r>
          </w:p>
        </w:tc>
      </w:tr>
      <w:tr>
        <w:tc>
          <w:p>
            <w:pPr>
              <w:pStyle w:val="Compact"/>
              <w:jc w:val="left"/>
            </w:pPr>
            <w:r>
              <w:t xml:space="preserve">02</w:t>
            </w:r>
          </w:p>
        </w:tc>
        <w:tc>
          <w:p>
            <w:pPr>
              <w:pStyle w:val="Compact"/>
              <w:jc w:val="left"/>
            </w:pPr>
            <w:r>
              <w:t xml:space="preserve">المخزون والساحة وتقييم المخزون</w:t>
            </w:r>
          </w:p>
        </w:tc>
        <w:tc>
          <w:p>
            <w:pPr>
              <w:pStyle w:val="Compact"/>
              <w:jc w:val="left"/>
            </w:pPr>
            <w:r>
              <w:t xml:space="preserve">تتبّع أرقام الصبّات ومخزون بالوزن وتقييم مستمر يُرحَّل إلى دفتر الأستاذ</w:t>
            </w:r>
          </w:p>
        </w:tc>
      </w:tr>
      <w:tr>
        <w:tc>
          <w:p>
            <w:pPr>
              <w:pStyle w:val="Compact"/>
              <w:jc w:val="left"/>
            </w:pPr>
            <w:r>
              <w:t xml:space="preserve">03</w:t>
            </w:r>
          </w:p>
        </w:tc>
        <w:tc>
          <w:p>
            <w:pPr>
              <w:pStyle w:val="Compact"/>
              <w:jc w:val="left"/>
            </w:pPr>
            <w:r>
              <w:t xml:space="preserve">المحاسبة والمالية</w:t>
            </w:r>
          </w:p>
        </w:tc>
        <w:tc>
          <w:p>
            <w:pPr>
              <w:pStyle w:val="Compact"/>
              <w:jc w:val="left"/>
            </w:pPr>
            <w:r>
              <w:t xml:space="preserve">دفتر أستاذ كامل ومراكز تكلفة وتكلفة الاستيراد والذمم والأصول والتقارير النظامية</w:t>
            </w:r>
          </w:p>
        </w:tc>
      </w:tr>
      <w:tr>
        <w:tc>
          <w:p>
            <w:pPr>
              <w:pStyle w:val="Compact"/>
              <w:jc w:val="left"/>
            </w:pPr>
            <w:r>
              <w:t xml:space="preserve">04</w:t>
            </w:r>
          </w:p>
        </w:tc>
        <w:tc>
          <w:p>
            <w:pPr>
              <w:pStyle w:val="Compact"/>
              <w:jc w:val="left"/>
            </w:pPr>
            <w:r>
              <w:t xml:space="preserve">المشتريات والتوريد</w:t>
            </w:r>
          </w:p>
        </w:tc>
        <w:tc>
          <w:p>
            <w:pPr>
              <w:pStyle w:val="Compact"/>
              <w:jc w:val="left"/>
            </w:pPr>
            <w:r>
              <w:t xml:space="preserve">الطلبات وطلبات الأسعار وتكلفة الاستيراد واتفاقيات الموردين والمطابقة الثلاثية</w:t>
            </w:r>
          </w:p>
        </w:tc>
      </w:tr>
      <w:tr>
        <w:tc>
          <w:p>
            <w:pPr>
              <w:pStyle w:val="Compact"/>
              <w:jc w:val="left"/>
            </w:pPr>
            <w:r>
              <w:t xml:space="preserve">05</w:t>
            </w:r>
          </w:p>
        </w:tc>
        <w:tc>
          <w:p>
            <w:pPr>
              <w:pStyle w:val="Compact"/>
              <w:jc w:val="left"/>
            </w:pPr>
            <w:r>
              <w:t xml:space="preserve">المبيعات وإدارة الأوامر</w:t>
            </w:r>
          </w:p>
        </w:tc>
        <w:tc>
          <w:p>
            <w:pPr>
              <w:pStyle w:val="Compact"/>
              <w:jc w:val="left"/>
            </w:pPr>
            <w:r>
              <w:t xml:space="preserve">تسعير بالطن مع الفروقات وهامش حيّ وعقود سحب وتسليم بالوزن الفعلي</w:t>
            </w:r>
          </w:p>
        </w:tc>
      </w:tr>
      <w:tr>
        <w:tc>
          <w:p>
            <w:pPr>
              <w:pStyle w:val="Compact"/>
              <w:jc w:val="left"/>
            </w:pPr>
            <w:r>
              <w:t xml:space="preserve">06</w:t>
            </w:r>
          </w:p>
        </w:tc>
        <w:tc>
          <w:p>
            <w:pPr>
              <w:pStyle w:val="Compact"/>
              <w:jc w:val="left"/>
            </w:pPr>
            <w:r>
              <w:t xml:space="preserve">إدارة علاقات العملاء والتسويق</w:t>
            </w:r>
          </w:p>
        </w:tc>
        <w:tc>
          <w:p>
            <w:pPr>
              <w:pStyle w:val="Compact"/>
              <w:jc w:val="left"/>
            </w:pPr>
            <w:r>
              <w:t xml:space="preserve">الاستفسارات ومسار المناقصات والمشاريع وتوقّع الأطنان وتحليل الكسب والخسارة</w:t>
            </w:r>
          </w:p>
        </w:tc>
      </w:tr>
      <w:tr>
        <w:tc>
          <w:p>
            <w:pPr>
              <w:pStyle w:val="Compact"/>
              <w:jc w:val="left"/>
            </w:pPr>
            <w:r>
              <w:t xml:space="preserve">07</w:t>
            </w:r>
          </w:p>
        </w:tc>
        <w:tc>
          <w:p>
            <w:pPr>
              <w:pStyle w:val="Compact"/>
              <w:jc w:val="left"/>
            </w:pPr>
            <w:r>
              <w:t xml:space="preserve">التحليلات ولوحات المعلومات</w:t>
            </w:r>
          </w:p>
        </w:tc>
        <w:tc>
          <w:p>
            <w:pPr>
              <w:pStyle w:val="Compact"/>
              <w:jc w:val="left"/>
            </w:pPr>
            <w:r>
              <w:t xml:space="preserve">قمرة قيادة للمدير المالي على حركات حيّة مع التنقل حتى المستند خلف كل رقم</w:t>
            </w:r>
          </w:p>
        </w:tc>
      </w:tr>
    </w:tbl>
    <w:p>
      <w:pPr>
        <w:pStyle w:val="BodyText"/>
      </w:pPr>
      <w:r>
        <w:t xml:space="preserve">Hosting option assumed: Cloud (Odoo.sh recommended). The quotation covers up to 30 named users.</w:t>
      </w:r>
    </w:p>
    <w:p>
      <w:pPr>
        <w:pStyle w:val="BodyText"/>
      </w:pPr>
      <w:r>
        <w:t xml:space="preserve">خيار الاستضافة المفترض: سحابي (يُوصى بـ Odoo.sh). يغطي العرض حتى 30 مستخدماً مسمّى.</w:t>
      </w:r>
    </w:p>
    <w:p>
      <w:pPr>
        <w:pStyle w:val="Heading2"/>
      </w:pPr>
      <w:bookmarkStart w:id="24" w:name="Xad25b890684860b9d1243901bb28b6e83e60664"/>
      <w:r>
        <w:t xml:space="preserve">4.1 Module 01 — Manufacturing, Job Costing &amp; Cost per Tonne</w:t>
      </w:r>
      <w:bookmarkEnd w:id="24"/>
    </w:p>
    <w:p>
      <w:pPr>
        <w:pStyle w:val="FirstParagraph"/>
      </w:pPr>
      <w:r>
        <w:rPr>
          <w:b/>
        </w:rPr>
        <w:t xml:space="preserve">4.1 الوحدة 01 — التصنيع وتكلفة أوامر التشغيل وتكلفة الطن</w:t>
      </w:r>
    </w:p>
    <w:p>
      <w:pPr>
        <w:pStyle w:val="BodyText"/>
      </w:pPr>
      <w:r>
        <w:rPr>
          <w:b/>
        </w:rPr>
        <w:t xml:space="preserve">Cost per tonne on the day it is produced.</w:t>
      </w:r>
      <w:r>
        <w:t xml:space="preserve"> </w:t>
      </w:r>
      <w:r>
        <w:t xml:space="preserve">This is the module the whole proposal is built around. Today the mill produces first and costs later — a job costing spreadsheet finished a month after the event, and a real cost per tonne that only appears when the quarter closes. Here the cost is assembled by the transactions themselves: billets issued by weighbridge weight, run hours booked at the stand, output and offcuts weighed back in, and the order closed with its own actual cost the same day it finishes.</w:t>
      </w:r>
    </w:p>
    <w:p>
      <w:pPr>
        <w:pStyle w:val="BodyText"/>
      </w:pPr>
      <w:r>
        <w:rPr>
          <w:b/>
        </w:rPr>
        <w:t xml:space="preserve">تكلفة الطن في يوم إنتاجه.</w:t>
      </w:r>
      <w:r>
        <w:t xml:space="preserve"> </w:t>
      </w:r>
      <w:r>
        <w:t xml:space="preserve">هذه هي الوحدة التي بُني حولها هذا العرض بأكمله. اليوم يُنتج المصنع أولاً ثم تُحتسب التكلفة لاحقاً — جدول تكاليف يُنجَز بعد شهر من الحدث، وتكلفة طن حقيقية لا تظهر إلا عند إقفال الربع. هنا تتكوّن التكلفة من الحركات نفسها: البيليت يُصرف بوزن الميزان، وساعات التشغيل تُسجَّل عند المدحلة، والإنتاج والقصاصات تُوزن عند الإرجاع، ويُقفل أمر التشغيل بتكلفته الفعلية في اليوم نفسه الذي ينتهي فيه.</w:t>
      </w:r>
    </w:p>
    <w:p>
      <w:pPr>
        <w:pStyle w:val="Heading3"/>
      </w:pPr>
      <w:bookmarkStart w:id="25" w:name="what-it-delivers"/>
      <w:r>
        <w:t xml:space="preserve">What it delivers</w:t>
      </w:r>
      <w:bookmarkEnd w:id="25"/>
    </w:p>
    <w:p>
      <w:pPr>
        <w:pStyle w:val="FirstParagraph"/>
      </w:pPr>
      <w:r>
        <w:rPr>
          <w:b/>
        </w:rPr>
        <w:t xml:space="preserve">ما الذي تقدّمه</w:t>
      </w:r>
    </w:p>
    <w:p>
      <w:pPr>
        <w:numPr>
          <w:ilvl w:val="0"/>
          <w:numId w:val="1003"/>
        </w:numPr>
        <w:pStyle w:val="Compact"/>
      </w:pPr>
      <w:r>
        <w:rPr>
          <w:b/>
        </w:rPr>
        <w:t xml:space="preserve">Bills of material per rolled size</w:t>
      </w:r>
      <w:r>
        <w:t xml:space="preserve"> </w:t>
      </w:r>
      <w:r>
        <w:t xml:space="preserve">— A separate multi-level BOM for each section, diameter and grade — billet input, alloy additions, consumables and packing — plus assembly BOMs for the fabrication shop.</w:t>
      </w:r>
    </w:p>
    <w:p>
      <w:pPr>
        <w:numPr>
          <w:ilvl w:val="0"/>
          <w:numId w:val="1003"/>
        </w:numPr>
        <w:pStyle w:val="Compact"/>
      </w:pPr>
      <w:r>
        <w:rPr>
          <w:b/>
        </w:rPr>
        <w:t xml:space="preserve">Routing and work centre rates</w:t>
      </w:r>
      <w:r>
        <w:t xml:space="preserve"> </w:t>
      </w:r>
      <w:r>
        <w:t xml:space="preserve">— Reheat furnace, roughing and finishing stands, cooling bed, shear and fabrication bays, each carrying a machine-hour rate, a labour rate and an overhead absorption rate.</w:t>
      </w:r>
    </w:p>
    <w:p>
      <w:pPr>
        <w:numPr>
          <w:ilvl w:val="0"/>
          <w:numId w:val="1003"/>
        </w:numPr>
        <w:pStyle w:val="Compact"/>
      </w:pPr>
      <w:r>
        <w:rPr>
          <w:b/>
        </w:rPr>
        <w:t xml:space="preserve">Shop-floor work orders</w:t>
      </w:r>
      <w:r>
        <w:t xml:space="preserve"> </w:t>
      </w:r>
      <w:r>
        <w:t xml:space="preserve">— Actual billet weight issued, actual run and downtime hours per stand and actual output weight, recorded at the line on a tablet as the shift happens.</w:t>
      </w:r>
    </w:p>
    <w:p>
      <w:pPr>
        <w:numPr>
          <w:ilvl w:val="0"/>
          <w:numId w:val="1003"/>
        </w:numPr>
        <w:pStyle w:val="Compact"/>
      </w:pPr>
      <w:r>
        <w:rPr>
          <w:b/>
        </w:rPr>
        <w:t xml:space="preserve">Yield and scrap capture</w:t>
      </w:r>
      <w:r>
        <w:t xml:space="preserve"> </w:t>
      </w:r>
      <w:r>
        <w:t xml:space="preserve">— The gap between weight issued and weight produced is booked as a yield loss against a reason — crop ends, mill scale, cobbles, off-spec — instead of disappearing into the monthly difference.</w:t>
      </w:r>
    </w:p>
    <w:p>
      <w:pPr>
        <w:numPr>
          <w:ilvl w:val="0"/>
          <w:numId w:val="1003"/>
        </w:numPr>
        <w:pStyle w:val="Compact"/>
      </w:pPr>
      <w:r>
        <w:rPr>
          <w:b/>
        </w:rPr>
        <w:t xml:space="preserve">Standard versus actual costing</w:t>
      </w:r>
      <w:r>
        <w:t xml:space="preserve"> </w:t>
      </w:r>
      <w:r>
        <w:t xml:space="preserve">— A standard cost per tonne per product, and a variance report that splits the gap into material, yield, labour and burden so the CFO knows which one moved.</w:t>
      </w:r>
    </w:p>
    <w:p>
      <w:pPr>
        <w:numPr>
          <w:ilvl w:val="0"/>
          <w:numId w:val="1003"/>
        </w:numPr>
        <w:pStyle w:val="Compact"/>
      </w:pPr>
      <w:r>
        <w:rPr>
          <w:b/>
        </w:rPr>
        <w:t xml:space="preserve">Fabrication job orders</w:t>
      </w:r>
      <w:r>
        <w:t xml:space="preserve"> </w:t>
      </w:r>
      <w:r>
        <w:t xml:space="preserve">— Make-to-order jobs for fabricated items with their own cutting list, weight take-off, consumables and labour booking, costed on the same model as the mill.</w:t>
      </w:r>
    </w:p>
    <w:p>
      <w:pPr>
        <w:numPr>
          <w:ilvl w:val="0"/>
          <w:numId w:val="1004"/>
        </w:numPr>
        <w:pStyle w:val="Compact"/>
      </w:pPr>
      <w:r>
        <w:rPr>
          <w:b/>
        </w:rPr>
        <w:t xml:space="preserve">قوائم مواد لكل مقاس مدرفل</w:t>
      </w:r>
      <w:r>
        <w:t xml:space="preserve"> </w:t>
      </w:r>
      <w:r>
        <w:t xml:space="preserve">— قائمة مواد متعددة المستويات لكل مقطع وقطر ودرجة — مدخل البيليت والإضافات السبائكية والمستهلكات والتغليف — إضافة إلى قوائم التجميع لورشة التشكيل.</w:t>
      </w:r>
    </w:p>
    <w:p>
      <w:pPr>
        <w:numPr>
          <w:ilvl w:val="0"/>
          <w:numId w:val="1004"/>
        </w:numPr>
        <w:pStyle w:val="Compact"/>
      </w:pPr>
      <w:r>
        <w:rPr>
          <w:b/>
        </w:rPr>
        <w:t xml:space="preserve">مسارات التشغيل ومعدلات مراكز العمل</w:t>
      </w:r>
      <w:r>
        <w:t xml:space="preserve"> </w:t>
      </w:r>
      <w:r>
        <w:t xml:space="preserve">— فرن إعادة التسخين ومدحلات التخشين والتشطيب وسرير التبريد والمقص وخلايا التشكيل، ولكل منها معدل ساعة آلة ومعدل عمالة ومعدل تحميل مصروفات غير مباشرة.</w:t>
      </w:r>
    </w:p>
    <w:p>
      <w:pPr>
        <w:numPr>
          <w:ilvl w:val="0"/>
          <w:numId w:val="1004"/>
        </w:numPr>
        <w:pStyle w:val="Compact"/>
      </w:pPr>
      <w:r>
        <w:rPr>
          <w:b/>
        </w:rPr>
        <w:t xml:space="preserve">أوامر تشغيل على أرض المصنع</w:t>
      </w:r>
      <w:r>
        <w:t xml:space="preserve"> </w:t>
      </w:r>
      <w:r>
        <w:t xml:space="preserve">— الوزن الفعلي للبيليت المصروف، وساعات التشغيل والتوقف الفعلية لكل مدحلة، ووزن المُنتَج الفعلي، تُسجَّل على جهاز لوحي عند الخط أثناء الوردية.</w:t>
      </w:r>
    </w:p>
    <w:p>
      <w:pPr>
        <w:numPr>
          <w:ilvl w:val="0"/>
          <w:numId w:val="1004"/>
        </w:numPr>
        <w:pStyle w:val="Compact"/>
      </w:pPr>
      <w:r>
        <w:rPr>
          <w:b/>
        </w:rPr>
        <w:t xml:space="preserve">احتساب العائد والعادم</w:t>
      </w:r>
      <w:r>
        <w:t xml:space="preserve"> </w:t>
      </w:r>
      <w:r>
        <w:t xml:space="preserve">— الفارق بين الوزن المصروف والوزن المنتَج يُقيَّد كفاقد عائد مقابل سبب محدد — أطراف القص وقشرة الدرفلة والالتفافات والمنتج خارج المواصفة — بدلاً من ذوبانه في فرق آخر الشهر.</w:t>
      </w:r>
    </w:p>
    <w:p>
      <w:pPr>
        <w:numPr>
          <w:ilvl w:val="0"/>
          <w:numId w:val="1004"/>
        </w:numPr>
        <w:pStyle w:val="Compact"/>
      </w:pPr>
      <w:r>
        <w:rPr>
          <w:b/>
        </w:rPr>
        <w:t xml:space="preserve">التكلفة المعيارية مقابل الفعلية</w:t>
      </w:r>
      <w:r>
        <w:t xml:space="preserve"> </w:t>
      </w:r>
      <w:r>
        <w:t xml:space="preserve">— تكلفة معيارية للطن لكل منتج، وتقرير انحرافات يفصل الفارق إلى مواد وعائد وعمالة وتحميل، ليعرف المدير المالي أي عنصر تحرّك.</w:t>
      </w:r>
    </w:p>
    <w:p>
      <w:pPr>
        <w:numPr>
          <w:ilvl w:val="0"/>
          <w:numId w:val="1004"/>
        </w:numPr>
        <w:pStyle w:val="Compact"/>
      </w:pPr>
      <w:r>
        <w:rPr>
          <w:b/>
        </w:rPr>
        <w:t xml:space="preserve">أوامر أشغال التشكيل</w:t>
      </w:r>
      <w:r>
        <w:t xml:space="preserve"> </w:t>
      </w:r>
      <w:r>
        <w:t xml:space="preserve">— أوامر تُنفَّذ حسب الطلب لأصناف التشكيل بقائمة قص وحصر أوزان ومستهلكات وعمالة خاصة بها، ومحتسَبة على نموذج التكلفة نفسه المستخدم في المصنع.</w:t>
      </w:r>
    </w:p>
    <w:p>
      <w:pPr>
        <w:pStyle w:val="Heading3"/>
      </w:pPr>
      <w:bookmarkStart w:id="26" w:name="how-it-runs-day-to-day"/>
      <w:r>
        <w:t xml:space="preserve">How it runs day to day</w:t>
      </w:r>
      <w:bookmarkEnd w:id="26"/>
    </w:p>
    <w:p>
      <w:pPr>
        <w:pStyle w:val="FirstParagraph"/>
      </w:pPr>
      <w:r>
        <w:rPr>
          <w:b/>
        </w:rPr>
        <w:t xml:space="preserve">كيف تعمل يومياً</w:t>
      </w:r>
    </w:p>
    <w:p>
      <w:pPr>
        <w:numPr>
          <w:ilvl w:val="0"/>
          <w:numId w:val="1005"/>
        </w:numPr>
        <w:pStyle w:val="Compact"/>
      </w:pPr>
      <w:r>
        <w:t xml:space="preserve">Production plan raised from confirmed sales orders and the rolling schedule by size and grade</w:t>
      </w:r>
    </w:p>
    <w:p>
      <w:pPr>
        <w:numPr>
          <w:ilvl w:val="0"/>
          <w:numId w:val="1005"/>
        </w:numPr>
        <w:pStyle w:val="Compact"/>
      </w:pPr>
      <w:r>
        <w:t xml:space="preserve">Billets issued to the order at actual weighbridge weight, not at theoretical BOM quantity</w:t>
      </w:r>
    </w:p>
    <w:p>
      <w:pPr>
        <w:numPr>
          <w:ilvl w:val="0"/>
          <w:numId w:val="1005"/>
        </w:numPr>
        <w:pStyle w:val="Compact"/>
      </w:pPr>
      <w:r>
        <w:t xml:space="preserve">Operators book run time, downtime reason and output weight per shift at the work centre</w:t>
      </w:r>
    </w:p>
    <w:p>
      <w:pPr>
        <w:numPr>
          <w:ilvl w:val="0"/>
          <w:numId w:val="1005"/>
        </w:numPr>
        <w:pStyle w:val="Compact"/>
      </w:pPr>
      <w:r>
        <w:t xml:space="preserve">Offcuts, crop ends and off-spec output are weighed back into stock as valued recoverable material</w:t>
      </w:r>
    </w:p>
    <w:p>
      <w:pPr>
        <w:numPr>
          <w:ilvl w:val="0"/>
          <w:numId w:val="1005"/>
        </w:numPr>
        <w:pStyle w:val="Compact"/>
      </w:pPr>
      <w:r>
        <w:t xml:space="preserve">Order closed and its actual cost per tonne calculated and posted to the ledger the same day</w:t>
      </w:r>
    </w:p>
    <w:p>
      <w:pPr>
        <w:numPr>
          <w:ilvl w:val="0"/>
          <w:numId w:val="1005"/>
        </w:numPr>
        <w:pStyle w:val="Compact"/>
      </w:pPr>
      <w:r>
        <w:t xml:space="preserve">Variance report compares actual against standard by product, shift, stand and period</w:t>
      </w:r>
    </w:p>
    <w:p>
      <w:pPr>
        <w:numPr>
          <w:ilvl w:val="0"/>
          <w:numId w:val="1006"/>
        </w:numPr>
        <w:pStyle w:val="Compact"/>
      </w:pPr>
      <w:r>
        <w:t xml:space="preserve">إعداد خطة الإنتاج من أوامر البيع المؤكدة وجدول الدرفلة حسب المقاس والدرجة</w:t>
      </w:r>
    </w:p>
    <w:p>
      <w:pPr>
        <w:numPr>
          <w:ilvl w:val="0"/>
          <w:numId w:val="1006"/>
        </w:numPr>
        <w:pStyle w:val="Compact"/>
      </w:pPr>
      <w:r>
        <w:t xml:space="preserve">صرف البيليت على أمر التشغيل بالوزن الفعلي من الميزان لا بالكمية النظرية في قائمة المواد</w:t>
      </w:r>
    </w:p>
    <w:p>
      <w:pPr>
        <w:numPr>
          <w:ilvl w:val="0"/>
          <w:numId w:val="1006"/>
        </w:numPr>
        <w:pStyle w:val="Compact"/>
      </w:pPr>
      <w:r>
        <w:t xml:space="preserve">تسجيل المشغّلين لزمن التشغيل وسبب التوقف ووزن المُنتَج لكل وردية عند مركز العمل</w:t>
      </w:r>
    </w:p>
    <w:p>
      <w:pPr>
        <w:numPr>
          <w:ilvl w:val="0"/>
          <w:numId w:val="1006"/>
        </w:numPr>
        <w:pStyle w:val="Compact"/>
      </w:pPr>
      <w:r>
        <w:t xml:space="preserve">وزن القصاصات وأطراف القص والمنتج خارج المواصفة عند إرجاعها للمخزون كمواد قابلة للاسترداد ومقيَّمة</w:t>
      </w:r>
    </w:p>
    <w:p>
      <w:pPr>
        <w:numPr>
          <w:ilvl w:val="0"/>
          <w:numId w:val="1006"/>
        </w:numPr>
        <w:pStyle w:val="Compact"/>
      </w:pPr>
      <w:r>
        <w:t xml:space="preserve">إقفال الأمر واحتساب تكلفته الفعلية للطن وترحيلها إلى دفتر الأستاذ في اليوم نفسه</w:t>
      </w:r>
    </w:p>
    <w:p>
      <w:pPr>
        <w:numPr>
          <w:ilvl w:val="0"/>
          <w:numId w:val="1006"/>
        </w:numPr>
        <w:pStyle w:val="Compact"/>
      </w:pPr>
      <w:r>
        <w:t xml:space="preserve">تقرير الانحرافات يقارن الفعلي بالمعياري حسب المنتج والوردية والمدحلة والفترة</w:t>
      </w:r>
    </w:p>
    <w:p>
      <w:pPr>
        <w:pStyle w:val="Heading3"/>
      </w:pPr>
      <w:bookmarkStart w:id="27" w:name="what-you-receive"/>
      <w:r>
        <w:t xml:space="preserve">What you receive</w:t>
      </w:r>
      <w:bookmarkEnd w:id="27"/>
    </w:p>
    <w:p>
      <w:pPr>
        <w:pStyle w:val="FirstParagraph"/>
      </w:pPr>
      <w:r>
        <w:rPr>
          <w:b/>
        </w:rPr>
        <w:t xml:space="preserve">ما الذي تستلمونه</w:t>
      </w:r>
    </w:p>
    <w:tbl>
      <w:tblPr>
        <w:tblStyle w:val="Table"/>
        <w:tblW w:type="pct" w:w="0.0"/>
        <w:tblLook w:firstRow="1"/>
      </w:tblPr>
      <w:tblGrid/>
      <w:tr>
        <w:trPr>
          <w:cnfStyle w:firstRow="1"/>
        </w:trPr>
        <w:tc>
          <w:tcPr>
            <w:tcBorders>
              <w:bottom w:val="single"/>
            </w:tcBorders>
            <w:vAlign w:val="bottom"/>
          </w:tcPr>
          <w:p>
            <w:pPr>
              <w:pStyle w:val="Compact"/>
              <w:jc w:val="left"/>
            </w:pPr>
            <w:r>
              <w:t xml:space="preserve">Deliverable</w:t>
            </w:r>
          </w:p>
        </w:tc>
        <w:tc>
          <w:tcPr>
            <w:tcBorders>
              <w:bottom w:val="single"/>
            </w:tcBorders>
            <w:vAlign w:val="bottom"/>
          </w:tcPr>
          <w:p>
            <w:pPr>
              <w:pStyle w:val="Compact"/>
              <w:jc w:val="left"/>
            </w:pPr>
            <w:r>
              <w:t xml:space="preserve">Detail</w:t>
            </w:r>
          </w:p>
        </w:tc>
      </w:tr>
      <w:tr>
        <w:tc>
          <w:p>
            <w:pPr>
              <w:pStyle w:val="Compact"/>
              <w:jc w:val="left"/>
            </w:pPr>
            <w:r>
              <w:t xml:space="preserve">Costed BOM library</w:t>
            </w:r>
          </w:p>
        </w:tc>
        <w:tc>
          <w:p>
            <w:pPr>
              <w:pStyle w:val="Compact"/>
              <w:jc w:val="left"/>
            </w:pPr>
            <w:r>
              <w:t xml:space="preserve">One per rolled size, grade and fabricated assembly, validated against your own output</w:t>
            </w:r>
          </w:p>
        </w:tc>
      </w:tr>
      <w:tr>
        <w:tc>
          <w:p>
            <w:pPr>
              <w:pStyle w:val="Compact"/>
              <w:jc w:val="left"/>
            </w:pPr>
            <w:r>
              <w:t xml:space="preserve">Work centre rate model</w:t>
            </w:r>
          </w:p>
        </w:tc>
        <w:tc>
          <w:p>
            <w:pPr>
              <w:pStyle w:val="Compact"/>
              <w:jc w:val="left"/>
            </w:pPr>
            <w:r>
              <w:t xml:space="preserve">Machine, labour and overhead rates per stand, furnace and fabrication bay</w:t>
            </w:r>
          </w:p>
        </w:tc>
      </w:tr>
      <w:tr>
        <w:tc>
          <w:p>
            <w:pPr>
              <w:pStyle w:val="Compact"/>
              <w:jc w:val="left"/>
            </w:pPr>
            <w:r>
              <w:t xml:space="preserve">Shop-floor terminal</w:t>
            </w:r>
          </w:p>
        </w:tc>
        <w:tc>
          <w:p>
            <w:pPr>
              <w:pStyle w:val="Compact"/>
              <w:jc w:val="left"/>
            </w:pPr>
            <w:r>
              <w:t xml:space="preserve">Issue, book, weigh and close a work order from a tablet at the line</w:t>
            </w:r>
          </w:p>
        </w:tc>
      </w:tr>
      <w:tr>
        <w:tc>
          <w:p>
            <w:pPr>
              <w:pStyle w:val="Compact"/>
              <w:jc w:val="left"/>
            </w:pPr>
            <w:r>
              <w:t xml:space="preserve">Cost per tonne report</w:t>
            </w:r>
          </w:p>
        </w:tc>
        <w:tc>
          <w:p>
            <w:pPr>
              <w:pStyle w:val="Compact"/>
              <w:jc w:val="left"/>
            </w:pPr>
            <w:r>
              <w:t xml:space="preserve">By product, order, shift and period — actual against standard, with the variance split</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المُخرَج</w:t>
            </w:r>
          </w:p>
        </w:tc>
        <w:tc>
          <w:tcPr>
            <w:tcBorders>
              <w:bottom w:val="single"/>
            </w:tcBorders>
            <w:vAlign w:val="bottom"/>
          </w:tcPr>
          <w:p>
            <w:pPr>
              <w:pStyle w:val="Compact"/>
              <w:jc w:val="left"/>
            </w:pPr>
            <w:r>
              <w:t xml:space="preserve">التفصيل</w:t>
            </w:r>
          </w:p>
        </w:tc>
      </w:tr>
      <w:tr>
        <w:tc>
          <w:p>
            <w:pPr>
              <w:pStyle w:val="Compact"/>
              <w:jc w:val="left"/>
            </w:pPr>
            <w:r>
              <w:t xml:space="preserve">مكتبة قوائم مواد مسعّرة</w:t>
            </w:r>
          </w:p>
        </w:tc>
        <w:tc>
          <w:p>
            <w:pPr>
              <w:pStyle w:val="Compact"/>
              <w:jc w:val="left"/>
            </w:pPr>
            <w:r>
              <w:t xml:space="preserve">واحدة لكل مقاس مدرفل ودرجة وتجميعة مشكَّلة، مُتحقَّق منها مقابل إنتاجكم الفعلي</w:t>
            </w:r>
          </w:p>
        </w:tc>
      </w:tr>
      <w:tr>
        <w:tc>
          <w:p>
            <w:pPr>
              <w:pStyle w:val="Compact"/>
              <w:jc w:val="left"/>
            </w:pPr>
            <w:r>
              <w:t xml:space="preserve">نموذج معدلات مراكز العمل</w:t>
            </w:r>
          </w:p>
        </w:tc>
        <w:tc>
          <w:p>
            <w:pPr>
              <w:pStyle w:val="Compact"/>
              <w:jc w:val="left"/>
            </w:pPr>
            <w:r>
              <w:t xml:space="preserve">معدلات الآلة والعمالة والتحميل لكل مدحلة وفرن وخلية تشكيل</w:t>
            </w:r>
          </w:p>
        </w:tc>
      </w:tr>
      <w:tr>
        <w:tc>
          <w:p>
            <w:pPr>
              <w:pStyle w:val="Compact"/>
              <w:jc w:val="left"/>
            </w:pPr>
            <w:r>
              <w:t xml:space="preserve">طرفية أرض المصنع</w:t>
            </w:r>
          </w:p>
        </w:tc>
        <w:tc>
          <w:p>
            <w:pPr>
              <w:pStyle w:val="Compact"/>
              <w:jc w:val="left"/>
            </w:pPr>
            <w:r>
              <w:t xml:space="preserve">صرف وتسجيل ووزن وإقفال أمر التشغيل من جهاز لوحي عند الخط</w:t>
            </w:r>
          </w:p>
        </w:tc>
      </w:tr>
      <w:tr>
        <w:tc>
          <w:p>
            <w:pPr>
              <w:pStyle w:val="Compact"/>
              <w:jc w:val="left"/>
            </w:pPr>
            <w:r>
              <w:t xml:space="preserve">تقرير تكلفة الطن</w:t>
            </w:r>
          </w:p>
        </w:tc>
        <w:tc>
          <w:p>
            <w:pPr>
              <w:pStyle w:val="Compact"/>
              <w:jc w:val="left"/>
            </w:pPr>
            <w:r>
              <w:t xml:space="preserve">حسب المنتج والأمر والوردية والفترة — الفعلي مقابل المعياري مع تفصيل الانحراف</w:t>
            </w:r>
          </w:p>
        </w:tc>
      </w:tr>
    </w:tbl>
    <w:p>
      <w:pPr>
        <w:pStyle w:val="BodyText"/>
      </w:pPr>
      <w:r>
        <w:rPr>
          <w:b/>
        </w:rPr>
        <w:t xml:space="preserve">Same day</w:t>
      </w:r>
      <w:r>
        <w:t xml:space="preserve"> </w:t>
      </w:r>
      <w:r>
        <w:t xml:space="preserve">Cost per tonne closed ·</w:t>
      </w:r>
      <w:r>
        <w:t xml:space="preserve"> </w:t>
      </w:r>
      <w:r>
        <w:rPr>
          <w:b/>
        </w:rPr>
        <w:t xml:space="preserve">Per order</w:t>
      </w:r>
      <w:r>
        <w:t xml:space="preserve"> </w:t>
      </w:r>
      <w:r>
        <w:t xml:space="preserve">Yield and scrap booked ·</w:t>
      </w:r>
      <w:r>
        <w:t xml:space="preserve"> </w:t>
      </w:r>
      <w:r>
        <w:rPr>
          <w:b/>
        </w:rPr>
        <w:t xml:space="preserve">Std vs actual</w:t>
      </w:r>
      <w:r>
        <w:t xml:space="preserve"> </w:t>
      </w:r>
      <w:r>
        <w:t xml:space="preserve">Variance split four ways ·</w:t>
      </w:r>
      <w:r>
        <w:t xml:space="preserve"> </w:t>
      </w:r>
      <w:r>
        <w:rPr>
          <w:b/>
        </w:rPr>
        <w:t xml:space="preserve">Weighbridge</w:t>
      </w:r>
      <w:r>
        <w:t xml:space="preserve"> </w:t>
      </w:r>
      <w:r>
        <w:t xml:space="preserve">Actual issue weight</w:t>
      </w:r>
    </w:p>
    <w:p>
      <w:pPr>
        <w:pStyle w:val="BodyText"/>
      </w:pPr>
      <w:r>
        <w:rPr>
          <w:b/>
        </w:rPr>
        <w:t xml:space="preserve">نفس اليوم</w:t>
      </w:r>
      <w:r>
        <w:t xml:space="preserve"> </w:t>
      </w:r>
      <w:r>
        <w:t xml:space="preserve">إقفال تكلفة الطن ·</w:t>
      </w:r>
      <w:r>
        <w:t xml:space="preserve"> </w:t>
      </w:r>
      <w:r>
        <w:rPr>
          <w:b/>
        </w:rPr>
        <w:t xml:space="preserve">لكل أمر</w:t>
      </w:r>
      <w:r>
        <w:t xml:space="preserve"> </w:t>
      </w:r>
      <w:r>
        <w:t xml:space="preserve">قيد العائد والعادم ·</w:t>
      </w:r>
      <w:r>
        <w:t xml:space="preserve"> </w:t>
      </w:r>
      <w:r>
        <w:rPr>
          <w:b/>
        </w:rPr>
        <w:t xml:space="preserve">معياري/فعلي</w:t>
      </w:r>
      <w:r>
        <w:t xml:space="preserve"> </w:t>
      </w:r>
      <w:r>
        <w:t xml:space="preserve">تفصيل الانحراف لأربعة عناصر ·</w:t>
      </w:r>
      <w:r>
        <w:t xml:space="preserve"> </w:t>
      </w:r>
      <w:r>
        <w:rPr>
          <w:b/>
        </w:rPr>
        <w:t xml:space="preserve">الميزان</w:t>
      </w:r>
      <w:r>
        <w:t xml:space="preserve"> </w:t>
      </w:r>
      <w:r>
        <w:t xml:space="preserve">وزن الصرف الفعلي</w:t>
      </w:r>
    </w:p>
    <w:p>
      <w:pPr>
        <w:pStyle w:val="Heading2"/>
      </w:pPr>
      <w:bookmarkStart w:id="28" w:name="module-02-inventory-yard-stock-valuation"/>
      <w:r>
        <w:t xml:space="preserve">4.2 Module 02 — Inventory, Yard &amp; Stock Valuation</w:t>
      </w:r>
      <w:bookmarkEnd w:id="28"/>
    </w:p>
    <w:p>
      <w:pPr>
        <w:pStyle w:val="FirstParagraph"/>
      </w:pPr>
      <w:r>
        <w:rPr>
          <w:b/>
        </w:rPr>
        <w:t xml:space="preserve">4.2 الوحدة 02 — المخزون والساحة وتقييم المخزون</w:t>
      </w:r>
    </w:p>
    <w:p>
      <w:pPr>
        <w:pStyle w:val="BodyText"/>
      </w:pPr>
      <w:r>
        <w:rPr>
          <w:b/>
        </w:rPr>
        <w:t xml:space="preserve">One valuation for the yard, the ledger and the auditor.</w:t>
      </w:r>
      <w:r>
        <w:t xml:space="preserve"> </w:t>
      </w:r>
      <w:r>
        <w:t xml:space="preserve">Billets, work in progress, finished bar and section, offcuts and scrap are all valued in the same ledger, at the moment they move. The stock figure the yard supervisor reads, the figure the CFO reports and the figure the auditor tests are the same figure — including the recoverable material that today leaves the plant without ever having carried a value.</w:t>
      </w:r>
    </w:p>
    <w:p>
      <w:pPr>
        <w:pStyle w:val="BodyText"/>
      </w:pPr>
      <w:r>
        <w:rPr>
          <w:b/>
        </w:rPr>
        <w:t xml:space="preserve">تقييم واحد للساحة ولدفتر الأستاذ وللمدقق.</w:t>
      </w:r>
      <w:r>
        <w:t xml:space="preserve"> </w:t>
      </w:r>
      <w:r>
        <w:t xml:space="preserve">البيليت والإنتاج تحت التشغيل والحديد المدرفل الجاهز والقصاصات والخردة تُقيَّم جميعها في دفتر الأستاذ نفسه لحظة حركتها. فرقم المخزون الذي يقرأه مشرف الساحة، والرقم الذي يقرّره المدير المالي، والرقم الذي يختبره المدقق هو رقم واحد — بما في ذلك المواد القابلة للاسترداد التي تغادر المصنع اليوم دون أن تحمل قيمة قط.</w:t>
      </w:r>
    </w:p>
    <w:p>
      <w:pPr>
        <w:pStyle w:val="Heading3"/>
      </w:pPr>
      <w:bookmarkStart w:id="29" w:name="what-it-delivers-1"/>
      <w:r>
        <w:t xml:space="preserve">What it delivers</w:t>
      </w:r>
      <w:bookmarkEnd w:id="29"/>
    </w:p>
    <w:p>
      <w:pPr>
        <w:pStyle w:val="FirstParagraph"/>
      </w:pPr>
      <w:r>
        <w:rPr>
          <w:b/>
        </w:rPr>
        <w:t xml:space="preserve">ما الذي تقدّمه</w:t>
      </w:r>
    </w:p>
    <w:p>
      <w:pPr>
        <w:numPr>
          <w:ilvl w:val="0"/>
          <w:numId w:val="1007"/>
        </w:numPr>
        <w:pStyle w:val="Compact"/>
      </w:pPr>
      <w:r>
        <w:rPr>
          <w:b/>
        </w:rPr>
        <w:t xml:space="preserve">Heat number and mill certificate traceability</w:t>
      </w:r>
      <w:r>
        <w:t xml:space="preserve"> </w:t>
      </w:r>
      <w:r>
        <w:t xml:space="preserve">— Every billet and finished bundle carries its heat number, traceable from the supplier consignment to the customer delivery note and the certificate issued with it.</w:t>
      </w:r>
    </w:p>
    <w:p>
      <w:pPr>
        <w:numPr>
          <w:ilvl w:val="0"/>
          <w:numId w:val="1007"/>
        </w:numPr>
        <w:pStyle w:val="Compact"/>
      </w:pPr>
      <w:r>
        <w:rPr>
          <w:b/>
        </w:rPr>
        <w:t xml:space="preserve">Weight as the primary unit</w:t>
      </w:r>
      <w:r>
        <w:t xml:space="preserve"> </w:t>
      </w:r>
      <w:r>
        <w:t xml:space="preserve">— Stock is kept in tonnes with pieces and length as secondary units, so theoretical weight and weighed weight reconcile in the system instead of in an argument.</w:t>
      </w:r>
    </w:p>
    <w:p>
      <w:pPr>
        <w:numPr>
          <w:ilvl w:val="0"/>
          <w:numId w:val="1007"/>
        </w:numPr>
        <w:pStyle w:val="Compact"/>
      </w:pPr>
      <w:r>
        <w:rPr>
          <w:b/>
        </w:rPr>
        <w:t xml:space="preserve">Real-time perpetual valuation</w:t>
      </w:r>
      <w:r>
        <w:t xml:space="preserve"> </w:t>
      </w:r>
      <w:r>
        <w:t xml:space="preserve">— Every receipt, issue, production output and transfer posts to the inventory account as it happens, so stock value is a live number rather than a month-end exercise.</w:t>
      </w:r>
    </w:p>
    <w:p>
      <w:pPr>
        <w:numPr>
          <w:ilvl w:val="0"/>
          <w:numId w:val="1007"/>
        </w:numPr>
        <w:pStyle w:val="Compact"/>
      </w:pPr>
      <w:r>
        <w:rPr>
          <w:b/>
        </w:rPr>
        <w:t xml:space="preserve">Scrap and offcut recovery</w:t>
      </w:r>
      <w:r>
        <w:t xml:space="preserve"> </w:t>
      </w:r>
      <w:r>
        <w:t xml:space="preserve">— Crop ends, offcuts and rejects are received into a valued recovery location and then re-rolled, sold or written off — as a recorded decision with a value attached to it.</w:t>
      </w:r>
    </w:p>
    <w:p>
      <w:pPr>
        <w:numPr>
          <w:ilvl w:val="0"/>
          <w:numId w:val="1007"/>
        </w:numPr>
        <w:pStyle w:val="Compact"/>
      </w:pPr>
      <w:r>
        <w:rPr>
          <w:b/>
        </w:rPr>
        <w:t xml:space="preserve">Yard, bay and stack structure</w:t>
      </w:r>
      <w:r>
        <w:t xml:space="preserve"> </w:t>
      </w:r>
      <w:r>
        <w:t xml:space="preserve">— Locations mapped down to bay, rack and stack so a specific bundle and heat can be found without walking the yard, and reservations are made against a real position.</w:t>
      </w:r>
    </w:p>
    <w:p>
      <w:pPr>
        <w:numPr>
          <w:ilvl w:val="0"/>
          <w:numId w:val="1007"/>
        </w:numPr>
        <w:pStyle w:val="Compact"/>
      </w:pPr>
      <w:r>
        <w:rPr>
          <w:b/>
        </w:rPr>
        <w:t xml:space="preserve">Continuous cycle counting</w:t>
      </w:r>
      <w:r>
        <w:t xml:space="preserve"> </w:t>
      </w:r>
      <w:r>
        <w:t xml:space="preserve">— Counts scheduled by location and product class through the year, with the difference posted and explained — replacing the annual shutdown count.</w:t>
      </w:r>
    </w:p>
    <w:p>
      <w:pPr>
        <w:numPr>
          <w:ilvl w:val="0"/>
          <w:numId w:val="1008"/>
        </w:numPr>
        <w:pStyle w:val="Compact"/>
      </w:pPr>
      <w:r>
        <w:rPr>
          <w:b/>
        </w:rPr>
        <w:t xml:space="preserve">تتبّع رقم الصبّة وشهادة المصنع</w:t>
      </w:r>
      <w:r>
        <w:t xml:space="preserve"> </w:t>
      </w:r>
      <w:r>
        <w:t xml:space="preserve">— كل بيليت وكل رزمة جاهزة تحمل رقم صبّتها، قابلة للتتبّع من إرسالية المورّد حتى إشعار التسليم للعميل والشهادة الصادرة معه.</w:t>
      </w:r>
    </w:p>
    <w:p>
      <w:pPr>
        <w:numPr>
          <w:ilvl w:val="0"/>
          <w:numId w:val="1008"/>
        </w:numPr>
        <w:pStyle w:val="Compact"/>
      </w:pPr>
      <w:r>
        <w:rPr>
          <w:b/>
        </w:rPr>
        <w:t xml:space="preserve">الوزن كوحدة قياس أساسية</w:t>
      </w:r>
      <w:r>
        <w:t xml:space="preserve"> </w:t>
      </w:r>
      <w:r>
        <w:t xml:space="preserve">— يُمسك المخزون بالأطنان مع القطع والأطوال كوحدات ثانوية، فيتطابق الوزن النظري والوزن الموزون داخل النظام بدلاً من التطابق في نقاش.</w:t>
      </w:r>
    </w:p>
    <w:p>
      <w:pPr>
        <w:numPr>
          <w:ilvl w:val="0"/>
          <w:numId w:val="1008"/>
        </w:numPr>
        <w:pStyle w:val="Compact"/>
      </w:pPr>
      <w:r>
        <w:rPr>
          <w:b/>
        </w:rPr>
        <w:t xml:space="preserve">تقييم مستمر لحظي</w:t>
      </w:r>
      <w:r>
        <w:t xml:space="preserve"> </w:t>
      </w:r>
      <w:r>
        <w:t xml:space="preserve">— كل استلام وصرف وإنتاج وتحويل يُرحَّل إلى حساب المخزون لحظة حدوثه، فتصبح قيمة المخزون رقماً حيّاً لا تمريناً في نهاية الشهر.</w:t>
      </w:r>
    </w:p>
    <w:p>
      <w:pPr>
        <w:numPr>
          <w:ilvl w:val="0"/>
          <w:numId w:val="1008"/>
        </w:numPr>
        <w:pStyle w:val="Compact"/>
      </w:pPr>
      <w:r>
        <w:rPr>
          <w:b/>
        </w:rPr>
        <w:t xml:space="preserve">استرداد الخردة والقصاصات</w:t>
      </w:r>
      <w:r>
        <w:t xml:space="preserve"> </w:t>
      </w:r>
      <w:r>
        <w:t xml:space="preserve">— أطراف القص والقصاصات والمرفوضات تُستلَم في موقع استرداد مقيَّم ثم يُعاد درفلتها أو تُباع أو تُشطب — كقرار مسجَّل له قيمة.</w:t>
      </w:r>
    </w:p>
    <w:p>
      <w:pPr>
        <w:numPr>
          <w:ilvl w:val="0"/>
          <w:numId w:val="1008"/>
        </w:numPr>
        <w:pStyle w:val="Compact"/>
      </w:pPr>
      <w:r>
        <w:rPr>
          <w:b/>
        </w:rPr>
        <w:t xml:space="preserve">هيكل الساحة والخلايا والأرصفة</w:t>
      </w:r>
      <w:r>
        <w:t xml:space="preserve"> </w:t>
      </w:r>
      <w:r>
        <w:t xml:space="preserve">— مواقع مفصّلة حتى مستوى الخلية والرف والرصّة، فتُوجد الرزمة والصبّة المطلوبة دون تمشيط الساحة، وتُحجَز الكميات مقابل موقع حقيقي.</w:t>
      </w:r>
    </w:p>
    <w:p>
      <w:pPr>
        <w:numPr>
          <w:ilvl w:val="0"/>
          <w:numId w:val="1008"/>
        </w:numPr>
        <w:pStyle w:val="Compact"/>
      </w:pPr>
      <w:r>
        <w:rPr>
          <w:b/>
        </w:rPr>
        <w:t xml:space="preserve">جرد دوري مستمر</w:t>
      </w:r>
      <w:r>
        <w:t xml:space="preserve"> </w:t>
      </w:r>
      <w:r>
        <w:t xml:space="preserve">— عمليات جرد مجدولة حسب الموقع وفئة المنتج على مدار السنة، مع ترحيل الفرق وتفسيره — بديلاً عن جرد التوقف السنوي.</w:t>
      </w:r>
    </w:p>
    <w:p>
      <w:pPr>
        <w:pStyle w:val="Heading3"/>
      </w:pPr>
      <w:bookmarkStart w:id="30" w:name="how-it-runs-day-to-day-1"/>
      <w:r>
        <w:t xml:space="preserve">How it runs day to day</w:t>
      </w:r>
      <w:bookmarkEnd w:id="30"/>
    </w:p>
    <w:p>
      <w:pPr>
        <w:pStyle w:val="FirstParagraph"/>
      </w:pPr>
      <w:r>
        <w:rPr>
          <w:b/>
        </w:rPr>
        <w:t xml:space="preserve">كيف تعمل يومياً</w:t>
      </w:r>
    </w:p>
    <w:p>
      <w:pPr>
        <w:numPr>
          <w:ilvl w:val="0"/>
          <w:numId w:val="1009"/>
        </w:numPr>
        <w:pStyle w:val="Compact"/>
      </w:pPr>
      <w:r>
        <w:t xml:space="preserve">Billets received against the purchase order, weighed and put away by heat number and location</w:t>
      </w:r>
    </w:p>
    <w:p>
      <w:pPr>
        <w:numPr>
          <w:ilvl w:val="0"/>
          <w:numId w:val="1009"/>
        </w:numPr>
        <w:pStyle w:val="Compact"/>
      </w:pPr>
      <w:r>
        <w:t xml:space="preserve">Material issued to a production order from a specific location, heat and bundle</w:t>
      </w:r>
    </w:p>
    <w:p>
      <w:pPr>
        <w:numPr>
          <w:ilvl w:val="0"/>
          <w:numId w:val="1009"/>
        </w:numPr>
        <w:pStyle w:val="Compact"/>
      </w:pPr>
      <w:r>
        <w:t xml:space="preserve">Finished bundles received into the yard with weight, size, grade, heat and tag number</w:t>
      </w:r>
    </w:p>
    <w:p>
      <w:pPr>
        <w:numPr>
          <w:ilvl w:val="0"/>
          <w:numId w:val="1009"/>
        </w:numPr>
        <w:pStyle w:val="Compact"/>
      </w:pPr>
      <w:r>
        <w:t xml:space="preserve">Offcuts, crop ends and rejects booked into the recovery location at an agreed valued rate</w:t>
      </w:r>
    </w:p>
    <w:p>
      <w:pPr>
        <w:numPr>
          <w:ilvl w:val="0"/>
          <w:numId w:val="1009"/>
        </w:numPr>
        <w:pStyle w:val="Compact"/>
      </w:pPr>
      <w:r>
        <w:t xml:space="preserve">Deliveries picked by bundle tag, with heat numbers printed on the delivery note and certificate</w:t>
      </w:r>
    </w:p>
    <w:p>
      <w:pPr>
        <w:numPr>
          <w:ilvl w:val="0"/>
          <w:numId w:val="1009"/>
        </w:numPr>
        <w:pStyle w:val="Compact"/>
      </w:pPr>
      <w:r>
        <w:t xml:space="preserve">Cycle counts reconcile the yard continuously and post the difference to the ledger with a reason</w:t>
      </w:r>
    </w:p>
    <w:p>
      <w:pPr>
        <w:numPr>
          <w:ilvl w:val="0"/>
          <w:numId w:val="1010"/>
        </w:numPr>
        <w:pStyle w:val="Compact"/>
      </w:pPr>
      <w:r>
        <w:t xml:space="preserve">استلام البيليت مقابل أمر الشراء ووزنه وتخزينه حسب رقم الصبّة والموقع</w:t>
      </w:r>
    </w:p>
    <w:p>
      <w:pPr>
        <w:numPr>
          <w:ilvl w:val="0"/>
          <w:numId w:val="1010"/>
        </w:numPr>
        <w:pStyle w:val="Compact"/>
      </w:pPr>
      <w:r>
        <w:t xml:space="preserve">صرف المواد إلى أمر التشغيل من موقع ورقم صبّة ورزمة محددة</w:t>
      </w:r>
    </w:p>
    <w:p>
      <w:pPr>
        <w:numPr>
          <w:ilvl w:val="0"/>
          <w:numId w:val="1010"/>
        </w:numPr>
        <w:pStyle w:val="Compact"/>
      </w:pPr>
      <w:r>
        <w:t xml:space="preserve">استلام الرزم الجاهزة في الساحة بالوزن والمقاس والدرجة ورقم الصبّة ورقم البطاقة</w:t>
      </w:r>
    </w:p>
    <w:p>
      <w:pPr>
        <w:numPr>
          <w:ilvl w:val="0"/>
          <w:numId w:val="1010"/>
        </w:numPr>
        <w:pStyle w:val="Compact"/>
      </w:pPr>
      <w:r>
        <w:t xml:space="preserve">قيد القصاصات وأطراف القص والمرفوضات في موقع الاسترداد بسعر مقيَّم متفق عليه</w:t>
      </w:r>
    </w:p>
    <w:p>
      <w:pPr>
        <w:numPr>
          <w:ilvl w:val="0"/>
          <w:numId w:val="1010"/>
        </w:numPr>
        <w:pStyle w:val="Compact"/>
      </w:pPr>
      <w:r>
        <w:t xml:space="preserve">تجهيز التسليمات ببطاقة الرزمة مع طباعة أرقام الصبّات على إشعار التسليم والشهادة</w:t>
      </w:r>
    </w:p>
    <w:p>
      <w:pPr>
        <w:numPr>
          <w:ilvl w:val="0"/>
          <w:numId w:val="1010"/>
        </w:numPr>
        <w:pStyle w:val="Compact"/>
      </w:pPr>
      <w:r>
        <w:t xml:space="preserve">الجرد الدوري يطابق الساحة باستمرار ويرحّل الفرق إلى دفتر الأستاذ مع بيان سببه</w:t>
      </w:r>
    </w:p>
    <w:p>
      <w:pPr>
        <w:pStyle w:val="Heading3"/>
      </w:pPr>
      <w:bookmarkStart w:id="31" w:name="what-you-receive-1"/>
      <w:r>
        <w:t xml:space="preserve">What you receive</w:t>
      </w:r>
      <w:bookmarkEnd w:id="31"/>
    </w:p>
    <w:p>
      <w:pPr>
        <w:pStyle w:val="FirstParagraph"/>
      </w:pPr>
      <w:r>
        <w:rPr>
          <w:b/>
        </w:rPr>
        <w:t xml:space="preserve">ما الذي تستلمونه</w:t>
      </w:r>
    </w:p>
    <w:tbl>
      <w:tblPr>
        <w:tblStyle w:val="Table"/>
        <w:tblW w:type="pct" w:w="0.0"/>
        <w:tblLook w:firstRow="1"/>
      </w:tblPr>
      <w:tblGrid/>
      <w:tr>
        <w:trPr>
          <w:cnfStyle w:firstRow="1"/>
        </w:trPr>
        <w:tc>
          <w:tcPr>
            <w:tcBorders>
              <w:bottom w:val="single"/>
            </w:tcBorders>
            <w:vAlign w:val="bottom"/>
          </w:tcPr>
          <w:p>
            <w:pPr>
              <w:pStyle w:val="Compact"/>
              <w:jc w:val="left"/>
            </w:pPr>
            <w:r>
              <w:t xml:space="preserve">Deliverable</w:t>
            </w:r>
          </w:p>
        </w:tc>
        <w:tc>
          <w:tcPr>
            <w:tcBorders>
              <w:bottom w:val="single"/>
            </w:tcBorders>
            <w:vAlign w:val="bottom"/>
          </w:tcPr>
          <w:p>
            <w:pPr>
              <w:pStyle w:val="Compact"/>
              <w:jc w:val="left"/>
            </w:pPr>
            <w:r>
              <w:t xml:space="preserve">Detail</w:t>
            </w:r>
          </w:p>
        </w:tc>
      </w:tr>
      <w:tr>
        <w:tc>
          <w:p>
            <w:pPr>
              <w:pStyle w:val="Compact"/>
              <w:jc w:val="left"/>
            </w:pPr>
            <w:r>
              <w:t xml:space="preserve">Yard map</w:t>
            </w:r>
          </w:p>
        </w:tc>
        <w:tc>
          <w:p>
            <w:pPr>
              <w:pStyle w:val="Compact"/>
              <w:jc w:val="left"/>
            </w:pPr>
            <w:r>
              <w:t xml:space="preserve">Sites, bays, racks and stacks mirroring the physical layout of the plant</w:t>
            </w:r>
          </w:p>
        </w:tc>
      </w:tr>
      <w:tr>
        <w:tc>
          <w:p>
            <w:pPr>
              <w:pStyle w:val="Compact"/>
              <w:jc w:val="left"/>
            </w:pPr>
            <w:r>
              <w:t xml:space="preserve">Valuation policy</w:t>
            </w:r>
          </w:p>
        </w:tc>
        <w:tc>
          <w:p>
            <w:pPr>
              <w:pStyle w:val="Compact"/>
              <w:jc w:val="left"/>
            </w:pPr>
            <w:r>
              <w:t xml:space="preserve">Costing method configured, tested on your data and reconciled to the ledger</w:t>
            </w:r>
          </w:p>
        </w:tc>
      </w:tr>
      <w:tr>
        <w:tc>
          <w:p>
            <w:pPr>
              <w:pStyle w:val="Compact"/>
              <w:jc w:val="left"/>
            </w:pPr>
            <w:r>
              <w:t xml:space="preserve">Scrap recovery flow</w:t>
            </w:r>
          </w:p>
        </w:tc>
        <w:tc>
          <w:p>
            <w:pPr>
              <w:pStyle w:val="Compact"/>
              <w:jc w:val="left"/>
            </w:pPr>
            <w:r>
              <w:t xml:space="preserve">Shop floor to valued stock to re-roll, sale or write-off, with approval</w:t>
            </w:r>
          </w:p>
        </w:tc>
      </w:tr>
      <w:tr>
        <w:tc>
          <w:p>
            <w:pPr>
              <w:pStyle w:val="Compact"/>
              <w:jc w:val="left"/>
            </w:pPr>
            <w:r>
              <w:t xml:space="preserve">Stock reporting</w:t>
            </w:r>
          </w:p>
        </w:tc>
        <w:tc>
          <w:p>
            <w:pPr>
              <w:pStyle w:val="Compact"/>
              <w:jc w:val="left"/>
            </w:pPr>
            <w:r>
              <w:t xml:space="preserve">Coverage in tonnes, ageing by heat, slow movers and stock-to-order visibility</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المُخرَج</w:t>
            </w:r>
          </w:p>
        </w:tc>
        <w:tc>
          <w:tcPr>
            <w:tcBorders>
              <w:bottom w:val="single"/>
            </w:tcBorders>
            <w:vAlign w:val="bottom"/>
          </w:tcPr>
          <w:p>
            <w:pPr>
              <w:pStyle w:val="Compact"/>
              <w:jc w:val="left"/>
            </w:pPr>
            <w:r>
              <w:t xml:space="preserve">التفصيل</w:t>
            </w:r>
          </w:p>
        </w:tc>
      </w:tr>
      <w:tr>
        <w:tc>
          <w:p>
            <w:pPr>
              <w:pStyle w:val="Compact"/>
              <w:jc w:val="left"/>
            </w:pPr>
            <w:r>
              <w:t xml:space="preserve">خريطة الساحة</w:t>
            </w:r>
          </w:p>
        </w:tc>
        <w:tc>
          <w:p>
            <w:pPr>
              <w:pStyle w:val="Compact"/>
              <w:jc w:val="left"/>
            </w:pPr>
            <w:r>
              <w:t xml:space="preserve">المواقع والخلايا والأرفف والرصّات بما يطابق التخطيط الفعلي للمصنع</w:t>
            </w:r>
          </w:p>
        </w:tc>
      </w:tr>
      <w:tr>
        <w:tc>
          <w:p>
            <w:pPr>
              <w:pStyle w:val="Compact"/>
              <w:jc w:val="left"/>
            </w:pPr>
            <w:r>
              <w:t xml:space="preserve">سياسة التقييم</w:t>
            </w:r>
          </w:p>
        </w:tc>
        <w:tc>
          <w:p>
            <w:pPr>
              <w:pStyle w:val="Compact"/>
              <w:jc w:val="left"/>
            </w:pPr>
            <w:r>
              <w:t xml:space="preserve">طريقة احتساب التكلفة مهيّأة ومختبرة على بياناتكم ومطابَقة مع دفتر الأستاذ</w:t>
            </w:r>
          </w:p>
        </w:tc>
      </w:tr>
      <w:tr>
        <w:tc>
          <w:p>
            <w:pPr>
              <w:pStyle w:val="Compact"/>
              <w:jc w:val="left"/>
            </w:pPr>
            <w:r>
              <w:t xml:space="preserve">مسار استرداد الخردة</w:t>
            </w:r>
          </w:p>
        </w:tc>
        <w:tc>
          <w:p>
            <w:pPr>
              <w:pStyle w:val="Compact"/>
              <w:jc w:val="left"/>
            </w:pPr>
            <w:r>
              <w:t xml:space="preserve">من أرض المصنع إلى مخزون مقيَّم ثم إعادة درفلة أو بيع أو شطب باعتماد</w:t>
            </w:r>
          </w:p>
        </w:tc>
      </w:tr>
      <w:tr>
        <w:tc>
          <w:p>
            <w:pPr>
              <w:pStyle w:val="Compact"/>
              <w:jc w:val="left"/>
            </w:pPr>
            <w:r>
              <w:t xml:space="preserve">تقارير المخزون</w:t>
            </w:r>
          </w:p>
        </w:tc>
        <w:tc>
          <w:p>
            <w:pPr>
              <w:pStyle w:val="Compact"/>
              <w:jc w:val="left"/>
            </w:pPr>
            <w:r>
              <w:t xml:space="preserve">التغطية بالأطنان والتقادم حسب الصبّة والأصناف بطيئة الحركة وربط المخزون بالأوامر</w:t>
            </w:r>
          </w:p>
        </w:tc>
      </w:tr>
    </w:tbl>
    <w:p>
      <w:pPr>
        <w:pStyle w:val="BodyText"/>
      </w:pPr>
      <w:r>
        <w:rPr>
          <w:b/>
        </w:rPr>
        <w:t xml:space="preserve">Real time</w:t>
      </w:r>
      <w:r>
        <w:t xml:space="preserve"> </w:t>
      </w:r>
      <w:r>
        <w:t xml:space="preserve">Stock value in the ledger ·</w:t>
      </w:r>
      <w:r>
        <w:t xml:space="preserve"> </w:t>
      </w:r>
      <w:r>
        <w:rPr>
          <w:b/>
        </w:rPr>
        <w:t xml:space="preserve">Heat number</w:t>
      </w:r>
      <w:r>
        <w:t xml:space="preserve"> </w:t>
      </w:r>
      <w:r>
        <w:t xml:space="preserve">End-to-end traceability ·</w:t>
      </w:r>
      <w:r>
        <w:t xml:space="preserve"> </w:t>
      </w:r>
      <w:r>
        <w:rPr>
          <w:b/>
        </w:rPr>
        <w:t xml:space="preserve">Valued</w:t>
      </w:r>
      <w:r>
        <w:t xml:space="preserve"> </w:t>
      </w:r>
      <w:r>
        <w:t xml:space="preserve">Every offcut and reject ·</w:t>
      </w:r>
      <w:r>
        <w:t xml:space="preserve"> </w:t>
      </w:r>
      <w:r>
        <w:rPr>
          <w:b/>
        </w:rPr>
        <w:t xml:space="preserve">Tonnes</w:t>
      </w:r>
      <w:r>
        <w:t xml:space="preserve"> </w:t>
      </w:r>
      <w:r>
        <w:t xml:space="preserve">Primary unit of measure</w:t>
      </w:r>
    </w:p>
    <w:p>
      <w:pPr>
        <w:pStyle w:val="BodyText"/>
      </w:pPr>
      <w:r>
        <w:rPr>
          <w:b/>
        </w:rPr>
        <w:t xml:space="preserve">لحظي</w:t>
      </w:r>
      <w:r>
        <w:t xml:space="preserve"> </w:t>
      </w:r>
      <w:r>
        <w:t xml:space="preserve">قيمة المخزون في الأستاذ ·</w:t>
      </w:r>
      <w:r>
        <w:t xml:space="preserve"> </w:t>
      </w:r>
      <w:r>
        <w:rPr>
          <w:b/>
        </w:rPr>
        <w:t xml:space="preserve">رقم الصبّة</w:t>
      </w:r>
      <w:r>
        <w:t xml:space="preserve"> </w:t>
      </w:r>
      <w:r>
        <w:t xml:space="preserve">تتبّع من الطرف للطرف ·</w:t>
      </w:r>
      <w:r>
        <w:t xml:space="preserve"> </w:t>
      </w:r>
      <w:r>
        <w:rPr>
          <w:b/>
        </w:rPr>
        <w:t xml:space="preserve">مقيَّم</w:t>
      </w:r>
      <w:r>
        <w:t xml:space="preserve"> </w:t>
      </w:r>
      <w:r>
        <w:t xml:space="preserve">كل قصاصة ومرفوض ·</w:t>
      </w:r>
      <w:r>
        <w:t xml:space="preserve"> </w:t>
      </w:r>
      <w:r>
        <w:rPr>
          <w:b/>
        </w:rPr>
        <w:t xml:space="preserve">الأطنان</w:t>
      </w:r>
      <w:r>
        <w:t xml:space="preserve"> </w:t>
      </w:r>
      <w:r>
        <w:t xml:space="preserve">وحدة القياس الأساسية</w:t>
      </w:r>
    </w:p>
    <w:p>
      <w:pPr>
        <w:pStyle w:val="Heading2"/>
      </w:pPr>
      <w:bookmarkStart w:id="32" w:name="module-03-accounting-finance"/>
      <w:r>
        <w:t xml:space="preserve">4.3 Module 03 — Accounting &amp; Finance</w:t>
      </w:r>
      <w:bookmarkEnd w:id="32"/>
    </w:p>
    <w:p>
      <w:pPr>
        <w:pStyle w:val="FirstParagraph"/>
      </w:pPr>
      <w:r>
        <w:rPr>
          <w:b/>
        </w:rPr>
        <w:t xml:space="preserve">4.3 الوحدة 03 — المحاسبة والمالية</w:t>
      </w:r>
    </w:p>
    <w:p>
      <w:pPr>
        <w:pStyle w:val="BodyText"/>
      </w:pPr>
      <w:r>
        <w:rPr>
          <w:b/>
        </w:rPr>
        <w:t xml:space="preserve">A trial balance that is current every morning.</w:t>
      </w:r>
      <w:r>
        <w:t xml:space="preserve"> </w:t>
      </w:r>
      <w:r>
        <w:t xml:space="preserve">Because production, the yard and procurement post as they happen, finance stops rebuilding the month and starts reviewing it. The inventory account agrees with the yard, work in progress is a real balance rather than a plug, and cost of goods sold is assembled from the production orders that actually ran.</w:t>
      </w:r>
    </w:p>
    <w:p>
      <w:pPr>
        <w:pStyle w:val="BodyText"/>
      </w:pPr>
      <w:r>
        <w:rPr>
          <w:b/>
        </w:rPr>
        <w:t xml:space="preserve">ميزان مراجعة محدَّث كل صباح.</w:t>
      </w:r>
      <w:r>
        <w:t xml:space="preserve"> </w:t>
      </w:r>
      <w:r>
        <w:t xml:space="preserve">لأن الإنتاج والساحة والمشتريات تُرحَّل لحظة حدوثها، تتوقف الإدارة المالية عن إعادة بناء الشهر وتبدأ بمراجعته. فحساب المخزون يطابق الساحة، والإنتاج تحت التشغيل رصيد حقيقي لا رقم موازِن، وتكلفة المبيعات تتكوّن من أوامر التشغيل التي نُفِّذت فعلاً.</w:t>
      </w:r>
    </w:p>
    <w:p>
      <w:pPr>
        <w:pStyle w:val="Heading3"/>
      </w:pPr>
      <w:bookmarkStart w:id="33" w:name="what-it-delivers-2"/>
      <w:r>
        <w:t xml:space="preserve">What it delivers</w:t>
      </w:r>
      <w:bookmarkEnd w:id="33"/>
    </w:p>
    <w:p>
      <w:pPr>
        <w:pStyle w:val="FirstParagraph"/>
      </w:pPr>
      <w:r>
        <w:rPr>
          <w:b/>
        </w:rPr>
        <w:t xml:space="preserve">ما الذي تقدّمه</w:t>
      </w:r>
    </w:p>
    <w:p>
      <w:pPr>
        <w:numPr>
          <w:ilvl w:val="0"/>
          <w:numId w:val="1011"/>
        </w:numPr>
        <w:pStyle w:val="Compact"/>
      </w:pPr>
      <w:r>
        <w:rPr>
          <w:b/>
        </w:rPr>
        <w:t xml:space="preserve">Operations post themselves</w:t>
      </w:r>
      <w:r>
        <w:t xml:space="preserve"> </w:t>
      </w:r>
      <w:r>
        <w:t xml:space="preserve">— Consumption, production output, stock moves, sales, purchases and payroll reach the ledger without a manual journal being typed.</w:t>
      </w:r>
    </w:p>
    <w:p>
      <w:pPr>
        <w:numPr>
          <w:ilvl w:val="0"/>
          <w:numId w:val="1011"/>
        </w:numPr>
        <w:pStyle w:val="Compact"/>
      </w:pPr>
      <w:r>
        <w:rPr>
          <w:b/>
        </w:rPr>
        <w:t xml:space="preserve">Cost centre and analytic structure</w:t>
      </w:r>
      <w:r>
        <w:t xml:space="preserve"> </w:t>
      </w:r>
      <w:r>
        <w:t xml:space="preserve">— Mill, fabrication, yard, maintenance, logistics and administration carried on every transaction, so a departmental profit and loss is a report rather than a project.</w:t>
      </w:r>
    </w:p>
    <w:p>
      <w:pPr>
        <w:numPr>
          <w:ilvl w:val="0"/>
          <w:numId w:val="1011"/>
        </w:numPr>
        <w:pStyle w:val="Compact"/>
      </w:pPr>
      <w:r>
        <w:rPr>
          <w:b/>
        </w:rPr>
        <w:t xml:space="preserve">Landed cost on imported billet</w:t>
      </w:r>
      <w:r>
        <w:t xml:space="preserve"> </w:t>
      </w:r>
      <w:r>
        <w:t xml:space="preserve">— Freight, insurance, customs, clearing and handling absorbed into the tonne cost of the consignment they belong to, before that billet is consumed.</w:t>
      </w:r>
    </w:p>
    <w:p>
      <w:pPr>
        <w:numPr>
          <w:ilvl w:val="0"/>
          <w:numId w:val="1011"/>
        </w:numPr>
        <w:pStyle w:val="Compact"/>
      </w:pPr>
      <w:r>
        <w:rPr>
          <w:b/>
        </w:rPr>
        <w:t xml:space="preserve">Receivables control</w:t>
      </w:r>
      <w:r>
        <w:t xml:space="preserve"> </w:t>
      </w:r>
      <w:r>
        <w:t xml:space="preserve">— Ageing, statements, credit limits and blocking rules per customer, applied at order entry rather than discovered at collection.</w:t>
      </w:r>
    </w:p>
    <w:p>
      <w:pPr>
        <w:numPr>
          <w:ilvl w:val="0"/>
          <w:numId w:val="1011"/>
        </w:numPr>
        <w:pStyle w:val="Compact"/>
      </w:pPr>
      <w:r>
        <w:rPr>
          <w:b/>
        </w:rPr>
        <w:t xml:space="preserve">Fixed assets</w:t>
      </w:r>
      <w:r>
        <w:t xml:space="preserve"> </w:t>
      </w:r>
      <w:r>
        <w:t xml:space="preserve">— Mill stands, rolls, cranes, furnace and vehicles on an asset register with automatic depreciation and disposal entries.</w:t>
      </w:r>
    </w:p>
    <w:p>
      <w:pPr>
        <w:numPr>
          <w:ilvl w:val="0"/>
          <w:numId w:val="1011"/>
        </w:numPr>
        <w:pStyle w:val="Compact"/>
      </w:pPr>
      <w:r>
        <w:rPr>
          <w:b/>
        </w:rPr>
        <w:t xml:space="preserve">Budgets and variance</w:t>
      </w:r>
      <w:r>
        <w:t xml:space="preserve"> </w:t>
      </w:r>
      <w:r>
        <w:t xml:space="preserve">— Budget per cost centre with actual and committed cost tracked against it, month and year to date.</w:t>
      </w:r>
    </w:p>
    <w:p>
      <w:pPr>
        <w:numPr>
          <w:ilvl w:val="0"/>
          <w:numId w:val="1012"/>
        </w:numPr>
        <w:pStyle w:val="Compact"/>
      </w:pPr>
      <w:r>
        <w:rPr>
          <w:b/>
        </w:rPr>
        <w:t xml:space="preserve">العمليات تُرحِّل نفسها</w:t>
      </w:r>
      <w:r>
        <w:t xml:space="preserve"> </w:t>
      </w:r>
      <w:r>
        <w:t xml:space="preserve">— الصرف والإنتاج وحركات المخزون والمبيعات والمشتريات والرواتب تصل إلى دفتر الأستاذ دون كتابة قيد يدوي واحد.</w:t>
      </w:r>
    </w:p>
    <w:p>
      <w:pPr>
        <w:numPr>
          <w:ilvl w:val="0"/>
          <w:numId w:val="1012"/>
        </w:numPr>
        <w:pStyle w:val="Compact"/>
      </w:pPr>
      <w:r>
        <w:rPr>
          <w:b/>
        </w:rPr>
        <w:t xml:space="preserve">هيكل مراكز التكلفة والتحليل</w:t>
      </w:r>
      <w:r>
        <w:t xml:space="preserve"> </w:t>
      </w:r>
      <w:r>
        <w:t xml:space="preserve">— المصنع والتشكيل والساحة والصيانة والنقل والإدارة محمولة على كل حركة، فتصبح قائمة دخل القسم تقريراً لا مشروعاً.</w:t>
      </w:r>
    </w:p>
    <w:p>
      <w:pPr>
        <w:numPr>
          <w:ilvl w:val="0"/>
          <w:numId w:val="1012"/>
        </w:numPr>
        <w:pStyle w:val="Compact"/>
      </w:pPr>
      <w:r>
        <w:rPr>
          <w:b/>
        </w:rPr>
        <w:t xml:space="preserve">تكلفة الاستيراد على البيليت</w:t>
      </w:r>
      <w:r>
        <w:t xml:space="preserve"> </w:t>
      </w:r>
      <w:r>
        <w:t xml:space="preserve">— الشحن والتأمين والجمارك والتخليص والمناولة تُحمَّل على تكلفة طن الإرسالية التي تخصّها قبل استهلاك ذلك البيليت.</w:t>
      </w:r>
    </w:p>
    <w:p>
      <w:pPr>
        <w:numPr>
          <w:ilvl w:val="0"/>
          <w:numId w:val="1012"/>
        </w:numPr>
        <w:pStyle w:val="Compact"/>
      </w:pPr>
      <w:r>
        <w:rPr>
          <w:b/>
        </w:rPr>
        <w:t xml:space="preserve">ضبط الذمم المدينة</w:t>
      </w:r>
      <w:r>
        <w:t xml:space="preserve"> </w:t>
      </w:r>
      <w:r>
        <w:t xml:space="preserve">— التقادم وكشوف الحساب وحدود الائتمان وقواعد الإيقاف لكل عميل، تُطبَّق عند إدخال الأمر لا تُكتشَف عند التحصيل.</w:t>
      </w:r>
    </w:p>
    <w:p>
      <w:pPr>
        <w:numPr>
          <w:ilvl w:val="0"/>
          <w:numId w:val="1012"/>
        </w:numPr>
        <w:pStyle w:val="Compact"/>
      </w:pPr>
      <w:r>
        <w:rPr>
          <w:b/>
        </w:rPr>
        <w:t xml:space="preserve">الأصول الثابتة</w:t>
      </w:r>
      <w:r>
        <w:t xml:space="preserve"> </w:t>
      </w:r>
      <w:r>
        <w:t xml:space="preserve">— مدحلات المصنع والأسطوانات والرافعات والفرن والمركبات في سجل أصول مع قيود إهلاك واستبعاد آلية.</w:t>
      </w:r>
    </w:p>
    <w:p>
      <w:pPr>
        <w:numPr>
          <w:ilvl w:val="0"/>
          <w:numId w:val="1012"/>
        </w:numPr>
        <w:pStyle w:val="Compact"/>
      </w:pPr>
      <w:r>
        <w:rPr>
          <w:b/>
        </w:rPr>
        <w:t xml:space="preserve">الموازنات والانحرافات</w:t>
      </w:r>
      <w:r>
        <w:t xml:space="preserve"> </w:t>
      </w:r>
      <w:r>
        <w:t xml:space="preserve">— موازنة لكل مركز تكلفة مع تتبّع الفعلي والملتزَم به مقابلها شهرياً ومنذ بداية السنة.</w:t>
      </w:r>
    </w:p>
    <w:p>
      <w:pPr>
        <w:pStyle w:val="Heading3"/>
      </w:pPr>
      <w:bookmarkStart w:id="34" w:name="how-it-runs-day-to-day-2"/>
      <w:r>
        <w:t xml:space="preserve">How it runs day to day</w:t>
      </w:r>
      <w:bookmarkEnd w:id="34"/>
    </w:p>
    <w:p>
      <w:pPr>
        <w:pStyle w:val="FirstParagraph"/>
      </w:pPr>
      <w:r>
        <w:rPr>
          <w:b/>
        </w:rPr>
        <w:t xml:space="preserve">كيف تعمل يومياً</w:t>
      </w:r>
    </w:p>
    <w:p>
      <w:pPr>
        <w:numPr>
          <w:ilvl w:val="0"/>
          <w:numId w:val="1013"/>
        </w:numPr>
        <w:pStyle w:val="Compact"/>
      </w:pPr>
      <w:r>
        <w:t xml:space="preserve">Operational documents post to the ledger in real time, tagged to their cost centre</w:t>
      </w:r>
    </w:p>
    <w:p>
      <w:pPr>
        <w:numPr>
          <w:ilvl w:val="0"/>
          <w:numId w:val="1013"/>
        </w:numPr>
        <w:pStyle w:val="Compact"/>
      </w:pPr>
      <w:r>
        <w:t xml:space="preserve">Import consignments carry their landed cost into the tonne rate before consumption</w:t>
      </w:r>
    </w:p>
    <w:p>
      <w:pPr>
        <w:numPr>
          <w:ilvl w:val="0"/>
          <w:numId w:val="1013"/>
        </w:numPr>
        <w:pStyle w:val="Compact"/>
      </w:pPr>
      <w:r>
        <w:t xml:space="preserve">Bank statements imported and matched against open items by rule</w:t>
      </w:r>
    </w:p>
    <w:p>
      <w:pPr>
        <w:numPr>
          <w:ilvl w:val="0"/>
          <w:numId w:val="1013"/>
        </w:numPr>
        <w:pStyle w:val="Compact"/>
      </w:pPr>
      <w:r>
        <w:t xml:space="preserve">Depreciation, accruals and allocations run as scheduled period entries</w:t>
      </w:r>
    </w:p>
    <w:p>
      <w:pPr>
        <w:numPr>
          <w:ilvl w:val="0"/>
          <w:numId w:val="1013"/>
        </w:numPr>
        <w:pStyle w:val="Compact"/>
      </w:pPr>
      <w:r>
        <w:t xml:space="preserve">Inventory, work in progress and cost of goods sold reconciled as part of the close checklist</w:t>
      </w:r>
    </w:p>
    <w:p>
      <w:pPr>
        <w:numPr>
          <w:ilvl w:val="0"/>
          <w:numId w:val="1013"/>
        </w:numPr>
        <w:pStyle w:val="Compact"/>
      </w:pPr>
      <w:r>
        <w:t xml:space="preserve">Management accounts issued from the system rather than rebuilt in a spreadsheet</w:t>
      </w:r>
    </w:p>
    <w:p>
      <w:pPr>
        <w:numPr>
          <w:ilvl w:val="0"/>
          <w:numId w:val="1014"/>
        </w:numPr>
        <w:pStyle w:val="Compact"/>
      </w:pPr>
      <w:r>
        <w:t xml:space="preserve">ترحيل المستندات التشغيلية إلى دفتر الأستاذ لحظياً موسومة بمركز التكلفة</w:t>
      </w:r>
    </w:p>
    <w:p>
      <w:pPr>
        <w:numPr>
          <w:ilvl w:val="0"/>
          <w:numId w:val="1014"/>
        </w:numPr>
        <w:pStyle w:val="Compact"/>
      </w:pPr>
      <w:r>
        <w:t xml:space="preserve">إرساليات الاستيراد تحمل تكلفتها الكاملة إلى سعر الطن قبل الاستهلاك</w:t>
      </w:r>
    </w:p>
    <w:p>
      <w:pPr>
        <w:numPr>
          <w:ilvl w:val="0"/>
          <w:numId w:val="1014"/>
        </w:numPr>
        <w:pStyle w:val="Compact"/>
      </w:pPr>
      <w:r>
        <w:t xml:space="preserve">استيراد كشوف البنك ومطابقتها مع البنود المفتوحة وفق قواعد</w:t>
      </w:r>
    </w:p>
    <w:p>
      <w:pPr>
        <w:numPr>
          <w:ilvl w:val="0"/>
          <w:numId w:val="1014"/>
        </w:numPr>
        <w:pStyle w:val="Compact"/>
      </w:pPr>
      <w:r>
        <w:t xml:space="preserve">تشغيل الإهلاك والمستحقات والتوزيعات كقيود دورية مجدولة</w:t>
      </w:r>
    </w:p>
    <w:p>
      <w:pPr>
        <w:numPr>
          <w:ilvl w:val="0"/>
          <w:numId w:val="1014"/>
        </w:numPr>
        <w:pStyle w:val="Compact"/>
      </w:pPr>
      <w:r>
        <w:t xml:space="preserve">مطابقة المخزون والإنتاج تحت التشغيل وتكلفة المبيعات ضمن قائمة إجراءات الإقفال</w:t>
      </w:r>
    </w:p>
    <w:p>
      <w:pPr>
        <w:numPr>
          <w:ilvl w:val="0"/>
          <w:numId w:val="1014"/>
        </w:numPr>
        <w:pStyle w:val="Compact"/>
      </w:pPr>
      <w:r>
        <w:t xml:space="preserve">إصدار الحسابات الإدارية من النظام بدلاً من إعادة بنائها في جدول بيانات</w:t>
      </w:r>
    </w:p>
    <w:p>
      <w:pPr>
        <w:pStyle w:val="Heading3"/>
      </w:pPr>
      <w:bookmarkStart w:id="35" w:name="what-you-receive-2"/>
      <w:r>
        <w:t xml:space="preserve">What you receive</w:t>
      </w:r>
      <w:bookmarkEnd w:id="35"/>
    </w:p>
    <w:p>
      <w:pPr>
        <w:pStyle w:val="FirstParagraph"/>
      </w:pPr>
      <w:r>
        <w:rPr>
          <w:b/>
        </w:rPr>
        <w:t xml:space="preserve">ما الذي تستلمونه</w:t>
      </w:r>
    </w:p>
    <w:tbl>
      <w:tblPr>
        <w:tblStyle w:val="Table"/>
        <w:tblW w:type="pct" w:w="0.0"/>
        <w:tblLook w:firstRow="1"/>
      </w:tblPr>
      <w:tblGrid/>
      <w:tr>
        <w:trPr>
          <w:cnfStyle w:firstRow="1"/>
        </w:trPr>
        <w:tc>
          <w:tcPr>
            <w:tcBorders>
              <w:bottom w:val="single"/>
            </w:tcBorders>
            <w:vAlign w:val="bottom"/>
          </w:tcPr>
          <w:p>
            <w:pPr>
              <w:pStyle w:val="Compact"/>
              <w:jc w:val="left"/>
            </w:pPr>
            <w:r>
              <w:t xml:space="preserve">Deliverable</w:t>
            </w:r>
          </w:p>
        </w:tc>
        <w:tc>
          <w:tcPr>
            <w:tcBorders>
              <w:bottom w:val="single"/>
            </w:tcBorders>
            <w:vAlign w:val="bottom"/>
          </w:tcPr>
          <w:p>
            <w:pPr>
              <w:pStyle w:val="Compact"/>
              <w:jc w:val="left"/>
            </w:pPr>
            <w:r>
              <w:t xml:space="preserve">Detail</w:t>
            </w:r>
          </w:p>
        </w:tc>
      </w:tr>
      <w:tr>
        <w:tc>
          <w:p>
            <w:pPr>
              <w:pStyle w:val="Compact"/>
              <w:jc w:val="left"/>
            </w:pPr>
            <w:r>
              <w:t xml:space="preserve">Chart of accounts</w:t>
            </w:r>
          </w:p>
        </w:tc>
        <w:tc>
          <w:p>
            <w:pPr>
              <w:pStyle w:val="Compact"/>
              <w:jc w:val="left"/>
            </w:pPr>
            <w:r>
              <w:t xml:space="preserve">Designed for a mill: material, conversion cost, yield loss and recovery separated</w:t>
            </w:r>
          </w:p>
        </w:tc>
      </w:tr>
      <w:tr>
        <w:tc>
          <w:p>
            <w:pPr>
              <w:pStyle w:val="Compact"/>
              <w:jc w:val="left"/>
            </w:pPr>
            <w:r>
              <w:t xml:space="preserve">Opening balances</w:t>
            </w:r>
          </w:p>
        </w:tc>
        <w:tc>
          <w:p>
            <w:pPr>
              <w:pStyle w:val="Compact"/>
              <w:jc w:val="left"/>
            </w:pPr>
            <w:r>
              <w:t xml:space="preserve">Migrated and reconciled to your last signed trial balance before go-live</w:t>
            </w:r>
          </w:p>
        </w:tc>
      </w:tr>
      <w:tr>
        <w:tc>
          <w:p>
            <w:pPr>
              <w:pStyle w:val="Compact"/>
              <w:jc w:val="left"/>
            </w:pPr>
            <w:r>
              <w:t xml:space="preserve">Costing reconciliation</w:t>
            </w:r>
          </w:p>
        </w:tc>
        <w:tc>
          <w:p>
            <w:pPr>
              <w:pStyle w:val="Compact"/>
              <w:jc w:val="left"/>
            </w:pPr>
            <w:r>
              <w:t xml:space="preserve">Stock ledger, work in progress and cost of goods sold tied to the general ledger</w:t>
            </w:r>
          </w:p>
        </w:tc>
      </w:tr>
      <w:tr>
        <w:tc>
          <w:p>
            <w:pPr>
              <w:pStyle w:val="Compact"/>
              <w:jc w:val="left"/>
            </w:pPr>
            <w:r>
              <w:t xml:space="preserve">Month-end close checklist</w:t>
            </w:r>
          </w:p>
        </w:tc>
        <w:tc>
          <w:p>
            <w:pPr>
              <w:pStyle w:val="Compact"/>
              <w:jc w:val="left"/>
            </w:pPr>
            <w:r>
              <w:t xml:space="preserve">A repeatable written procedure with an owner against every step</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المُخرَج</w:t>
            </w:r>
          </w:p>
        </w:tc>
        <w:tc>
          <w:tcPr>
            <w:tcBorders>
              <w:bottom w:val="single"/>
            </w:tcBorders>
            <w:vAlign w:val="bottom"/>
          </w:tcPr>
          <w:p>
            <w:pPr>
              <w:pStyle w:val="Compact"/>
              <w:jc w:val="left"/>
            </w:pPr>
            <w:r>
              <w:t xml:space="preserve">التفصيل</w:t>
            </w:r>
          </w:p>
        </w:tc>
      </w:tr>
      <w:tr>
        <w:tc>
          <w:p>
            <w:pPr>
              <w:pStyle w:val="Compact"/>
              <w:jc w:val="left"/>
            </w:pPr>
            <w:r>
              <w:t xml:space="preserve">شجرة الحسابات</w:t>
            </w:r>
          </w:p>
        </w:tc>
        <w:tc>
          <w:p>
            <w:pPr>
              <w:pStyle w:val="Compact"/>
              <w:jc w:val="left"/>
            </w:pPr>
            <w:r>
              <w:t xml:space="preserve">مصمّمة لمصنع درفلة: فصل المواد وتكلفة التحويل وفاقد العائد والاسترداد</w:t>
            </w:r>
          </w:p>
        </w:tc>
      </w:tr>
      <w:tr>
        <w:tc>
          <w:p>
            <w:pPr>
              <w:pStyle w:val="Compact"/>
              <w:jc w:val="left"/>
            </w:pPr>
            <w:r>
              <w:t xml:space="preserve">الأرصدة الافتتاحية</w:t>
            </w:r>
          </w:p>
        </w:tc>
        <w:tc>
          <w:p>
            <w:pPr>
              <w:pStyle w:val="Compact"/>
              <w:jc w:val="left"/>
            </w:pPr>
            <w:r>
              <w:t xml:space="preserve">مُرحَّلة ومطابَقة مع آخر ميزان مراجعة معتمد لديكم قبل التشغيل الفعلي</w:t>
            </w:r>
          </w:p>
        </w:tc>
      </w:tr>
      <w:tr>
        <w:tc>
          <w:p>
            <w:pPr>
              <w:pStyle w:val="Compact"/>
              <w:jc w:val="left"/>
            </w:pPr>
            <w:r>
              <w:t xml:space="preserve">مطابقة التكاليف</w:t>
            </w:r>
          </w:p>
        </w:tc>
        <w:tc>
          <w:p>
            <w:pPr>
              <w:pStyle w:val="Compact"/>
              <w:jc w:val="left"/>
            </w:pPr>
            <w:r>
              <w:t xml:space="preserve">ربط أستاذ المخزون والإنتاج تحت التشغيل وتكلفة المبيعات بدفتر الأستاذ العام</w:t>
            </w:r>
          </w:p>
        </w:tc>
      </w:tr>
      <w:tr>
        <w:tc>
          <w:p>
            <w:pPr>
              <w:pStyle w:val="Compact"/>
              <w:jc w:val="left"/>
            </w:pPr>
            <w:r>
              <w:t xml:space="preserve">قائمة إقفال الشهر</w:t>
            </w:r>
          </w:p>
        </w:tc>
        <w:tc>
          <w:p>
            <w:pPr>
              <w:pStyle w:val="Compact"/>
              <w:jc w:val="left"/>
            </w:pPr>
            <w:r>
              <w:t xml:space="preserve">إجراء مكتوب قابل للتكرار بمسؤول محدد لكل خطوة</w:t>
            </w:r>
          </w:p>
        </w:tc>
      </w:tr>
    </w:tbl>
    <w:p>
      <w:pPr>
        <w:pStyle w:val="BodyText"/>
      </w:pPr>
      <w:r>
        <w:rPr>
          <w:b/>
        </w:rPr>
        <w:t xml:space="preserve">Daily</w:t>
      </w:r>
      <w:r>
        <w:t xml:space="preserve"> </w:t>
      </w:r>
      <w:r>
        <w:t xml:space="preserve">Current trial balance ·</w:t>
      </w:r>
      <w:r>
        <w:t xml:space="preserve"> </w:t>
      </w:r>
      <w:r>
        <w:rPr>
          <w:b/>
        </w:rPr>
        <w:t xml:space="preserve">Per cost centre</w:t>
      </w:r>
      <w:r>
        <w:t xml:space="preserve"> </w:t>
      </w:r>
      <w:r>
        <w:t xml:space="preserve">Mill, fab, yard, admin ·</w:t>
      </w:r>
      <w:r>
        <w:t xml:space="preserve"> </w:t>
      </w:r>
      <w:r>
        <w:rPr>
          <w:b/>
        </w:rPr>
        <w:t xml:space="preserve">Absorbed</w:t>
      </w:r>
      <w:r>
        <w:t xml:space="preserve"> </w:t>
      </w:r>
      <w:r>
        <w:t xml:space="preserve">Landed cost per tonne ·</w:t>
      </w:r>
      <w:r>
        <w:t xml:space="preserve"> </w:t>
      </w:r>
      <w:r>
        <w:rPr>
          <w:b/>
        </w:rPr>
        <w:t xml:space="preserve">Reconciled</w:t>
      </w:r>
      <w:r>
        <w:t xml:space="preserve"> </w:t>
      </w:r>
      <w:r>
        <w:t xml:space="preserve">Stock ledger to GL</w:t>
      </w:r>
    </w:p>
    <w:p>
      <w:pPr>
        <w:pStyle w:val="BodyText"/>
      </w:pPr>
      <w:r>
        <w:rPr>
          <w:b/>
        </w:rPr>
        <w:t xml:space="preserve">يومي</w:t>
      </w:r>
      <w:r>
        <w:t xml:space="preserve"> </w:t>
      </w:r>
      <w:r>
        <w:t xml:space="preserve">ميزان مراجعة محدَّث ·</w:t>
      </w:r>
      <w:r>
        <w:t xml:space="preserve"> </w:t>
      </w:r>
      <w:r>
        <w:rPr>
          <w:b/>
        </w:rPr>
        <w:t xml:space="preserve">لكل مركز</w:t>
      </w:r>
      <w:r>
        <w:t xml:space="preserve"> </w:t>
      </w:r>
      <w:r>
        <w:t xml:space="preserve">مصنع وتشكيل وساحة وإدارة ·</w:t>
      </w:r>
      <w:r>
        <w:t xml:space="preserve"> </w:t>
      </w:r>
      <w:r>
        <w:rPr>
          <w:b/>
        </w:rPr>
        <w:t xml:space="preserve">محمَّلة</w:t>
      </w:r>
      <w:r>
        <w:t xml:space="preserve"> </w:t>
      </w:r>
      <w:r>
        <w:t xml:space="preserve">تكلفة الاستيراد للطن ·</w:t>
      </w:r>
      <w:r>
        <w:t xml:space="preserve"> </w:t>
      </w:r>
      <w:r>
        <w:rPr>
          <w:b/>
        </w:rPr>
        <w:t xml:space="preserve">مطابَق</w:t>
      </w:r>
      <w:r>
        <w:t xml:space="preserve"> </w:t>
      </w:r>
      <w:r>
        <w:t xml:space="preserve">أستاذ المخزون بالأستاذ العام</w:t>
      </w:r>
    </w:p>
    <w:p>
      <w:pPr>
        <w:pStyle w:val="Heading2"/>
      </w:pPr>
      <w:bookmarkStart w:id="36" w:name="module-04-purchase-procurement"/>
      <w:r>
        <w:t xml:space="preserve">4.4 Module 04 — Purchase &amp; Procurement</w:t>
      </w:r>
      <w:bookmarkEnd w:id="36"/>
    </w:p>
    <w:p>
      <w:pPr>
        <w:pStyle w:val="FirstParagraph"/>
      </w:pPr>
      <w:r>
        <w:rPr>
          <w:b/>
        </w:rPr>
        <w:t xml:space="preserve">4.4 الوحدة 04 — المشتريات والتوريد</w:t>
      </w:r>
    </w:p>
    <w:p>
      <w:pPr>
        <w:pStyle w:val="BodyText"/>
      </w:pPr>
      <w:r>
        <w:rPr>
          <w:b/>
        </w:rPr>
        <w:t xml:space="preserve">The billet price you agreed is the billet price you pay.</w:t>
      </w:r>
      <w:r>
        <w:t xml:space="preserve"> </w:t>
      </w:r>
      <w:r>
        <w:t xml:space="preserve">Billet is the single largest line in the cost per tonne, and refractories, rolls, alloys, electrodes, gases and spares decide whether the mill keeps running. Procurement is therefore treated as a cost-control function: offers compared on landed cost per tonne, receipts weighed, and no invoice paid that the weighbridge and the purchase order do not both support.</w:t>
      </w:r>
    </w:p>
    <w:p>
      <w:pPr>
        <w:pStyle w:val="BodyText"/>
      </w:pPr>
      <w:r>
        <w:rPr>
          <w:b/>
        </w:rPr>
        <w:t xml:space="preserve">سعر البيليت الذي اتفقتم عليه هو السعر الذي تدفعونه.</w:t>
      </w:r>
      <w:r>
        <w:t xml:space="preserve"> </w:t>
      </w:r>
      <w:r>
        <w:t xml:space="preserve">البيليت هو أكبر بند منفرد في تكلفة الطن، والحراريات والأسطوانات والسبائك والأقطاب والغازات وقطع الغيار هي ما يقرّر استمرار تشغيل المصنع. لذلك تُعامَل المشتريات كوظيفة ضبط تكلفة: تُقارَن العروض على أساس التكلفة الكاملة للطن، وتُوزن المستلمات، ولا تُدفع فاتورة لا يدعمها الميزان وأمر الشراء معاً.</w:t>
      </w:r>
    </w:p>
    <w:p>
      <w:pPr>
        <w:pStyle w:val="Heading3"/>
      </w:pPr>
      <w:bookmarkStart w:id="37" w:name="what-it-delivers-3"/>
      <w:r>
        <w:t xml:space="preserve">What it delivers</w:t>
      </w:r>
      <w:bookmarkEnd w:id="37"/>
    </w:p>
    <w:p>
      <w:pPr>
        <w:pStyle w:val="FirstParagraph"/>
      </w:pPr>
      <w:r>
        <w:rPr>
          <w:b/>
        </w:rPr>
        <w:t xml:space="preserve">ما الذي تقدّمه</w:t>
      </w:r>
    </w:p>
    <w:p>
      <w:pPr>
        <w:numPr>
          <w:ilvl w:val="0"/>
          <w:numId w:val="1015"/>
        </w:numPr>
        <w:pStyle w:val="Compact"/>
      </w:pPr>
      <w:r>
        <w:rPr>
          <w:b/>
        </w:rPr>
        <w:t xml:space="preserve">Requests from the floor and from maintenance</w:t>
      </w:r>
      <w:r>
        <w:t xml:space="preserve"> </w:t>
      </w:r>
      <w:r>
        <w:t xml:space="preserve">— Departments raise a request carrying its cost centre and budget line, routed for approval before any commitment is made to a supplier.</w:t>
      </w:r>
    </w:p>
    <w:p>
      <w:pPr>
        <w:numPr>
          <w:ilvl w:val="0"/>
          <w:numId w:val="1015"/>
        </w:numPr>
        <w:pStyle w:val="Compact"/>
      </w:pPr>
      <w:r>
        <w:rPr>
          <w:b/>
        </w:rPr>
        <w:t xml:space="preserve">RFQ comparison on landed cost</w:t>
      </w:r>
      <w:r>
        <w:t xml:space="preserve"> </w:t>
      </w:r>
      <w:r>
        <w:t xml:space="preserve">— Vendor offers compared on delivered cost per tonne — price, freight, duty, payment terms and lead time together — not on the invoice line alone.</w:t>
      </w:r>
    </w:p>
    <w:p>
      <w:pPr>
        <w:numPr>
          <w:ilvl w:val="0"/>
          <w:numId w:val="1015"/>
        </w:numPr>
        <w:pStyle w:val="Compact"/>
      </w:pPr>
      <w:r>
        <w:rPr>
          <w:b/>
        </w:rPr>
        <w:t xml:space="preserve">Import and landed cost distribution</w:t>
      </w:r>
      <w:r>
        <w:t xml:space="preserve"> </w:t>
      </w:r>
      <w:r>
        <w:t xml:space="preserve">— Letter of credit charges, freight, insurance, customs and clearing distributed across the consignment by weight or by value, automatically.</w:t>
      </w:r>
    </w:p>
    <w:p>
      <w:pPr>
        <w:numPr>
          <w:ilvl w:val="0"/>
          <w:numId w:val="1015"/>
        </w:numPr>
        <w:pStyle w:val="Compact"/>
      </w:pPr>
      <w:r>
        <w:rPr>
          <w:b/>
        </w:rPr>
        <w:t xml:space="preserve">Vendor price agreements</w:t>
      </w:r>
      <w:r>
        <w:t xml:space="preserve"> </w:t>
      </w:r>
      <w:r>
        <w:t xml:space="preserve">— Contracted billet and consumable prices, tolerances and minimum quantities enforced when the purchase order is raised, not checked afterwards.</w:t>
      </w:r>
    </w:p>
    <w:p>
      <w:pPr>
        <w:numPr>
          <w:ilvl w:val="0"/>
          <w:numId w:val="1015"/>
        </w:numPr>
        <w:pStyle w:val="Compact"/>
      </w:pPr>
      <w:r>
        <w:rPr>
          <w:b/>
        </w:rPr>
        <w:t xml:space="preserve">Reorder rules for consumables and spares</w:t>
      </w:r>
      <w:r>
        <w:t xml:space="preserve"> </w:t>
      </w:r>
      <w:r>
        <w:t xml:space="preserve">— Minimum and maximum levels with supplier lead time for refractories, rolls, electrodes, gases, packing and critical spares, so the mill does not stop for a stock-out.</w:t>
      </w:r>
    </w:p>
    <w:p>
      <w:pPr>
        <w:numPr>
          <w:ilvl w:val="0"/>
          <w:numId w:val="1015"/>
        </w:numPr>
        <w:pStyle w:val="Compact"/>
      </w:pPr>
      <w:r>
        <w:rPr>
          <w:b/>
        </w:rPr>
        <w:t xml:space="preserve">Three-way matching with weight tolerance</w:t>
      </w:r>
      <w:r>
        <w:t xml:space="preserve"> </w:t>
      </w:r>
      <w:r>
        <w:t xml:space="preserve">— Purchase order, weighbridge receipt and supplier invoice reconciled — including an agreed weight tolerance rule — before any payment is released.</w:t>
      </w:r>
    </w:p>
    <w:p>
      <w:pPr>
        <w:numPr>
          <w:ilvl w:val="0"/>
          <w:numId w:val="1016"/>
        </w:numPr>
        <w:pStyle w:val="Compact"/>
      </w:pPr>
      <w:r>
        <w:rPr>
          <w:b/>
        </w:rPr>
        <w:t xml:space="preserve">طلبات من أرض المصنع والصيانة</w:t>
      </w:r>
      <w:r>
        <w:t xml:space="preserve"> </w:t>
      </w:r>
      <w:r>
        <w:t xml:space="preserve">— ترفع الأقسام طلباً يحمل مركز التكلفة وبند الموازنة، يُوجَّه للاعتماد قبل أي التزام تجاه مورّد.</w:t>
      </w:r>
    </w:p>
    <w:p>
      <w:pPr>
        <w:numPr>
          <w:ilvl w:val="0"/>
          <w:numId w:val="1016"/>
        </w:numPr>
        <w:pStyle w:val="Compact"/>
      </w:pPr>
      <w:r>
        <w:rPr>
          <w:b/>
        </w:rPr>
        <w:t xml:space="preserve">مقارنة طلبات الأسعار بالتكلفة الكاملة</w:t>
      </w:r>
      <w:r>
        <w:t xml:space="preserve"> </w:t>
      </w:r>
      <w:r>
        <w:t xml:space="preserve">— تُقارَن عروض الموردين على أساس التكلفة الواصلة للطن — السعر والشحن والرسوم وشروط الدفع ومدة التوريد معاً — لا على بند الفاتورة وحده.</w:t>
      </w:r>
    </w:p>
    <w:p>
      <w:pPr>
        <w:numPr>
          <w:ilvl w:val="0"/>
          <w:numId w:val="1016"/>
        </w:numPr>
        <w:pStyle w:val="Compact"/>
      </w:pPr>
      <w:r>
        <w:rPr>
          <w:b/>
        </w:rPr>
        <w:t xml:space="preserve">توزيع تكاليف الاستيراد</w:t>
      </w:r>
      <w:r>
        <w:t xml:space="preserve"> </w:t>
      </w:r>
      <w:r>
        <w:t xml:space="preserve">— مصاريف الاعتماد المستندي والشحن والتأمين والجمارك والتخليص تُوزَّع على الإرسالية بالوزن أو بالقيمة آلياً.</w:t>
      </w:r>
    </w:p>
    <w:p>
      <w:pPr>
        <w:numPr>
          <w:ilvl w:val="0"/>
          <w:numId w:val="1016"/>
        </w:numPr>
        <w:pStyle w:val="Compact"/>
      </w:pPr>
      <w:r>
        <w:rPr>
          <w:b/>
        </w:rPr>
        <w:t xml:space="preserve">اتفاقيات أسعار الموردين</w:t>
      </w:r>
      <w:r>
        <w:t xml:space="preserve"> </w:t>
      </w:r>
      <w:r>
        <w:t xml:space="preserve">— أسعار البيليت والمستهلكات المتعاقد عليها والسماحات والحد الأدنى للكميات تُطبَّق عند إصدار أمر الشراء لا عند مراجعته لاحقاً.</w:t>
      </w:r>
    </w:p>
    <w:p>
      <w:pPr>
        <w:numPr>
          <w:ilvl w:val="0"/>
          <w:numId w:val="1016"/>
        </w:numPr>
        <w:pStyle w:val="Compact"/>
      </w:pPr>
      <w:r>
        <w:rPr>
          <w:b/>
        </w:rPr>
        <w:t xml:space="preserve">قواعد إعادة الطلب للمستهلكات وقطع الغيار</w:t>
      </w:r>
      <w:r>
        <w:t xml:space="preserve"> </w:t>
      </w:r>
      <w:r>
        <w:t xml:space="preserve">— حدود دنيا وعليا مع مدة توريد المورّد للحراريات والأسطوانات والأقطاب والغازات والتغليف وقطع الغيار الحرجة، حتى لا يتوقف المصنع لنفاد صنف.</w:t>
      </w:r>
    </w:p>
    <w:p>
      <w:pPr>
        <w:numPr>
          <w:ilvl w:val="0"/>
          <w:numId w:val="1016"/>
        </w:numPr>
        <w:pStyle w:val="Compact"/>
      </w:pPr>
      <w:r>
        <w:rPr>
          <w:b/>
        </w:rPr>
        <w:t xml:space="preserve">مطابقة ثلاثية بسماح وزني</w:t>
      </w:r>
      <w:r>
        <w:t xml:space="preserve"> </w:t>
      </w:r>
      <w:r>
        <w:t xml:space="preserve">— مطابقة أمر الشراء وإيصال الميزان وفاتورة المورّد — بما في ذلك قاعدة سماح وزني متفق عليها — قبل الإفراج عن أي دفعة.</w:t>
      </w:r>
    </w:p>
    <w:p>
      <w:pPr>
        <w:pStyle w:val="Heading3"/>
      </w:pPr>
      <w:bookmarkStart w:id="38" w:name="how-it-runs-day-to-day-3"/>
      <w:r>
        <w:t xml:space="preserve">How it runs day to day</w:t>
      </w:r>
      <w:bookmarkEnd w:id="38"/>
    </w:p>
    <w:p>
      <w:pPr>
        <w:pStyle w:val="FirstParagraph"/>
      </w:pPr>
      <w:r>
        <w:rPr>
          <w:b/>
        </w:rPr>
        <w:t xml:space="preserve">كيف تعمل يومياً</w:t>
      </w:r>
    </w:p>
    <w:p>
      <w:pPr>
        <w:numPr>
          <w:ilvl w:val="0"/>
          <w:numId w:val="1017"/>
        </w:numPr>
        <w:pStyle w:val="Compact"/>
      </w:pPr>
      <w:r>
        <w:t xml:space="preserve">Requirement raised as a purchase request against a cost centre and budget line</w:t>
      </w:r>
    </w:p>
    <w:p>
      <w:pPr>
        <w:numPr>
          <w:ilvl w:val="0"/>
          <w:numId w:val="1017"/>
        </w:numPr>
        <w:pStyle w:val="Compact"/>
      </w:pPr>
      <w:r>
        <w:t xml:space="preserve">RFQ issued to shortlisted suppliers and offers logged and compared on landed cost</w:t>
      </w:r>
    </w:p>
    <w:p>
      <w:pPr>
        <w:numPr>
          <w:ilvl w:val="0"/>
          <w:numId w:val="1017"/>
        </w:numPr>
        <w:pStyle w:val="Compact"/>
      </w:pPr>
      <w:r>
        <w:t xml:space="preserve">Purchase order approved within the delegation of authority and issued to the supplier</w:t>
      </w:r>
    </w:p>
    <w:p>
      <w:pPr>
        <w:numPr>
          <w:ilvl w:val="0"/>
          <w:numId w:val="1017"/>
        </w:numPr>
        <w:pStyle w:val="Compact"/>
      </w:pPr>
      <w:r>
        <w:t xml:space="preserve">Consignment received at the weighbridge; actual weight compared with ordered weight and tolerance flagged</w:t>
      </w:r>
    </w:p>
    <w:p>
      <w:pPr>
        <w:numPr>
          <w:ilvl w:val="0"/>
          <w:numId w:val="1017"/>
        </w:numPr>
        <w:pStyle w:val="Compact"/>
      </w:pPr>
      <w:r>
        <w:t xml:space="preserve">Freight, duty and clearing added to the consignment so the tonne cost is complete</w:t>
      </w:r>
    </w:p>
    <w:p>
      <w:pPr>
        <w:numPr>
          <w:ilvl w:val="0"/>
          <w:numId w:val="1017"/>
        </w:numPr>
        <w:pStyle w:val="Compact"/>
      </w:pPr>
      <w:r>
        <w:t xml:space="preserve">Supplier invoice matched three ways and scheduled for payment inside the agreed terms</w:t>
      </w:r>
    </w:p>
    <w:p>
      <w:pPr>
        <w:numPr>
          <w:ilvl w:val="0"/>
          <w:numId w:val="1018"/>
        </w:numPr>
        <w:pStyle w:val="Compact"/>
      </w:pPr>
      <w:r>
        <w:t xml:space="preserve">رفع الاحتياج كطلب شراء مقابل مركز تكلفة وبند موازنة</w:t>
      </w:r>
    </w:p>
    <w:p>
      <w:pPr>
        <w:numPr>
          <w:ilvl w:val="0"/>
          <w:numId w:val="1018"/>
        </w:numPr>
        <w:pStyle w:val="Compact"/>
      </w:pPr>
      <w:r>
        <w:t xml:space="preserve">إصدار طلب أسعار للموردين المؤهلين وتسجيل العروض ومقارنتها بالتكلفة الواصلة</w:t>
      </w:r>
    </w:p>
    <w:p>
      <w:pPr>
        <w:numPr>
          <w:ilvl w:val="0"/>
          <w:numId w:val="1018"/>
        </w:numPr>
        <w:pStyle w:val="Compact"/>
      </w:pPr>
      <w:r>
        <w:t xml:space="preserve">اعتماد أمر الشراء ضمن حدود الصلاحيات وإصداره إلى المورّد</w:t>
      </w:r>
    </w:p>
    <w:p>
      <w:pPr>
        <w:numPr>
          <w:ilvl w:val="0"/>
          <w:numId w:val="1018"/>
        </w:numPr>
        <w:pStyle w:val="Compact"/>
      </w:pPr>
      <w:r>
        <w:t xml:space="preserve">استلام الإرسالية عند الميزان ومقارنة الوزن الفعلي بالوزن المطلوب وتنبيه تجاوز السماح</w:t>
      </w:r>
    </w:p>
    <w:p>
      <w:pPr>
        <w:numPr>
          <w:ilvl w:val="0"/>
          <w:numId w:val="1018"/>
        </w:numPr>
        <w:pStyle w:val="Compact"/>
      </w:pPr>
      <w:r>
        <w:t xml:space="preserve">إضافة الشحن والرسوم والتخليص إلى الإرسالية ليكتمل سعر الطن</w:t>
      </w:r>
    </w:p>
    <w:p>
      <w:pPr>
        <w:numPr>
          <w:ilvl w:val="0"/>
          <w:numId w:val="1018"/>
        </w:numPr>
        <w:pStyle w:val="Compact"/>
      </w:pPr>
      <w:r>
        <w:t xml:space="preserve">مطابقة فاتورة المورّد ثلاثياً وجدولتها للدفع ضمن الشروط المتفق عليها</w:t>
      </w:r>
    </w:p>
    <w:p>
      <w:pPr>
        <w:pStyle w:val="Heading3"/>
      </w:pPr>
      <w:bookmarkStart w:id="39" w:name="what-you-receive-3"/>
      <w:r>
        <w:t xml:space="preserve">What you receive</w:t>
      </w:r>
      <w:bookmarkEnd w:id="39"/>
    </w:p>
    <w:p>
      <w:pPr>
        <w:pStyle w:val="FirstParagraph"/>
      </w:pPr>
      <w:r>
        <w:rPr>
          <w:b/>
        </w:rPr>
        <w:t xml:space="preserve">ما الذي تستلمونه</w:t>
      </w:r>
    </w:p>
    <w:tbl>
      <w:tblPr>
        <w:tblStyle w:val="Table"/>
        <w:tblW w:type="pct" w:w="0.0"/>
        <w:tblLook w:firstRow="1"/>
      </w:tblPr>
      <w:tblGrid/>
      <w:tr>
        <w:trPr>
          <w:cnfStyle w:firstRow="1"/>
        </w:trPr>
        <w:tc>
          <w:tcPr>
            <w:tcBorders>
              <w:bottom w:val="single"/>
            </w:tcBorders>
            <w:vAlign w:val="bottom"/>
          </w:tcPr>
          <w:p>
            <w:pPr>
              <w:pStyle w:val="Compact"/>
              <w:jc w:val="left"/>
            </w:pPr>
            <w:r>
              <w:t xml:space="preserve">Deliverable</w:t>
            </w:r>
          </w:p>
        </w:tc>
        <w:tc>
          <w:tcPr>
            <w:tcBorders>
              <w:bottom w:val="single"/>
            </w:tcBorders>
            <w:vAlign w:val="bottom"/>
          </w:tcPr>
          <w:p>
            <w:pPr>
              <w:pStyle w:val="Compact"/>
              <w:jc w:val="left"/>
            </w:pPr>
            <w:r>
              <w:t xml:space="preserve">Detail</w:t>
            </w:r>
          </w:p>
        </w:tc>
      </w:tr>
      <w:tr>
        <w:tc>
          <w:p>
            <w:pPr>
              <w:pStyle w:val="Compact"/>
              <w:jc w:val="left"/>
            </w:pPr>
            <w:r>
              <w:t xml:space="preserve">Procurement workflow</w:t>
            </w:r>
          </w:p>
        </w:tc>
        <w:tc>
          <w:p>
            <w:pPr>
              <w:pStyle w:val="Compact"/>
              <w:jc w:val="left"/>
            </w:pPr>
            <w:r>
              <w:t xml:space="preserve">Request, RFQ, purchase order, weighed receipt, landed cost, matched bill</w:t>
            </w:r>
          </w:p>
        </w:tc>
      </w:tr>
      <w:tr>
        <w:tc>
          <w:p>
            <w:pPr>
              <w:pStyle w:val="Compact"/>
              <w:jc w:val="left"/>
            </w:pPr>
            <w:r>
              <w:t xml:space="preserve">Approval matrix</w:t>
            </w:r>
          </w:p>
        </w:tc>
        <w:tc>
          <w:p>
            <w:pPr>
              <w:pStyle w:val="Compact"/>
              <w:jc w:val="left"/>
            </w:pPr>
            <w:r>
              <w:t xml:space="preserve">Authority limits by amount, category and role, implemented in the system</w:t>
            </w:r>
          </w:p>
        </w:tc>
      </w:tr>
      <w:tr>
        <w:tc>
          <w:p>
            <w:pPr>
              <w:pStyle w:val="Compact"/>
              <w:jc w:val="left"/>
            </w:pPr>
            <w:r>
              <w:t xml:space="preserve">Vendor master</w:t>
            </w:r>
          </w:p>
        </w:tc>
        <w:tc>
          <w:p>
            <w:pPr>
              <w:pStyle w:val="Compact"/>
              <w:jc w:val="left"/>
            </w:pPr>
            <w:r>
              <w:t xml:space="preserve">Terms, price agreements and performance — on time, weight variance, quality</w:t>
            </w:r>
          </w:p>
        </w:tc>
      </w:tr>
      <w:tr>
        <w:tc>
          <w:p>
            <w:pPr>
              <w:pStyle w:val="Compact"/>
              <w:jc w:val="left"/>
            </w:pPr>
            <w:r>
              <w:t xml:space="preserve">Landed cost model</w:t>
            </w:r>
          </w:p>
        </w:tc>
        <w:tc>
          <w:p>
            <w:pPr>
              <w:pStyle w:val="Compact"/>
              <w:jc w:val="left"/>
            </w:pPr>
            <w:r>
              <w:t xml:space="preserve">Import charges allocated by weight or value to the true tonne rate</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المُخرَج</w:t>
            </w:r>
          </w:p>
        </w:tc>
        <w:tc>
          <w:tcPr>
            <w:tcBorders>
              <w:bottom w:val="single"/>
            </w:tcBorders>
            <w:vAlign w:val="bottom"/>
          </w:tcPr>
          <w:p>
            <w:pPr>
              <w:pStyle w:val="Compact"/>
              <w:jc w:val="left"/>
            </w:pPr>
            <w:r>
              <w:t xml:space="preserve">التفصيل</w:t>
            </w:r>
          </w:p>
        </w:tc>
      </w:tr>
      <w:tr>
        <w:tc>
          <w:p>
            <w:pPr>
              <w:pStyle w:val="Compact"/>
              <w:jc w:val="left"/>
            </w:pPr>
            <w:r>
              <w:t xml:space="preserve">مسار المشتريات</w:t>
            </w:r>
          </w:p>
        </w:tc>
        <w:tc>
          <w:p>
            <w:pPr>
              <w:pStyle w:val="Compact"/>
              <w:jc w:val="left"/>
            </w:pPr>
            <w:r>
              <w:t xml:space="preserve">طلب، طلب أسعار، أمر شراء، استلام موزون، تكلفة واصلة، فاتورة مطابَقة</w:t>
            </w:r>
          </w:p>
        </w:tc>
      </w:tr>
      <w:tr>
        <w:tc>
          <w:p>
            <w:pPr>
              <w:pStyle w:val="Compact"/>
              <w:jc w:val="left"/>
            </w:pPr>
            <w:r>
              <w:t xml:space="preserve">مصفوفة الاعتمادات</w:t>
            </w:r>
          </w:p>
        </w:tc>
        <w:tc>
          <w:p>
            <w:pPr>
              <w:pStyle w:val="Compact"/>
              <w:jc w:val="left"/>
            </w:pPr>
            <w:r>
              <w:t xml:space="preserve">حدود الصلاحيات حسب المبلغ والفئة والدور، مُطبَّقة داخل النظام</w:t>
            </w:r>
          </w:p>
        </w:tc>
      </w:tr>
      <w:tr>
        <w:tc>
          <w:p>
            <w:pPr>
              <w:pStyle w:val="Compact"/>
              <w:jc w:val="left"/>
            </w:pPr>
            <w:r>
              <w:t xml:space="preserve">ملف الموردين</w:t>
            </w:r>
          </w:p>
        </w:tc>
        <w:tc>
          <w:p>
            <w:pPr>
              <w:pStyle w:val="Compact"/>
              <w:jc w:val="left"/>
            </w:pPr>
            <w:r>
              <w:t xml:space="preserve">الشروط واتفاقيات الأسعار والأداء — الالتزام بالمواعيد وفروق الوزن والجودة</w:t>
            </w:r>
          </w:p>
        </w:tc>
      </w:tr>
      <w:tr>
        <w:tc>
          <w:p>
            <w:pPr>
              <w:pStyle w:val="Compact"/>
              <w:jc w:val="left"/>
            </w:pPr>
            <w:r>
              <w:t xml:space="preserve">نموذج التكلفة الواصلة</w:t>
            </w:r>
          </w:p>
        </w:tc>
        <w:tc>
          <w:p>
            <w:pPr>
              <w:pStyle w:val="Compact"/>
              <w:jc w:val="left"/>
            </w:pPr>
            <w:r>
              <w:t xml:space="preserve">توزيع مصاريف الاستيراد بالوزن أو القيمة على سعر الطن الحقيقي</w:t>
            </w:r>
          </w:p>
        </w:tc>
      </w:tr>
    </w:tbl>
    <w:p>
      <w:pPr>
        <w:pStyle w:val="BodyText"/>
      </w:pPr>
      <w:r>
        <w:rPr>
          <w:b/>
        </w:rPr>
        <w:t xml:space="preserve">Landed</w:t>
      </w:r>
      <w:r>
        <w:t xml:space="preserve"> </w:t>
      </w:r>
      <w:r>
        <w:t xml:space="preserve">Offers compared per tonne ·</w:t>
      </w:r>
      <w:r>
        <w:t xml:space="preserve"> </w:t>
      </w:r>
      <w:r>
        <w:rPr>
          <w:b/>
        </w:rPr>
        <w:t xml:space="preserve">3-way</w:t>
      </w:r>
      <w:r>
        <w:t xml:space="preserve"> </w:t>
      </w:r>
      <w:r>
        <w:t xml:space="preserve">Match before payment ·</w:t>
      </w:r>
      <w:r>
        <w:t xml:space="preserve"> </w:t>
      </w:r>
      <w:r>
        <w:rPr>
          <w:b/>
        </w:rPr>
        <w:t xml:space="preserve">Tolerance</w:t>
      </w:r>
      <w:r>
        <w:t xml:space="preserve"> </w:t>
      </w:r>
      <w:r>
        <w:t xml:space="preserve">Weight variance flagged ·</w:t>
      </w:r>
      <w:r>
        <w:t xml:space="preserve"> </w:t>
      </w:r>
      <w:r>
        <w:rPr>
          <w:b/>
        </w:rPr>
        <w:t xml:space="preserve">Auto</w:t>
      </w:r>
      <w:r>
        <w:t xml:space="preserve"> </w:t>
      </w:r>
      <w:r>
        <w:t xml:space="preserve">Reorder on consumables</w:t>
      </w:r>
    </w:p>
    <w:p>
      <w:pPr>
        <w:pStyle w:val="BodyText"/>
      </w:pPr>
      <w:r>
        <w:rPr>
          <w:b/>
        </w:rPr>
        <w:t xml:space="preserve">واصلة</w:t>
      </w:r>
      <w:r>
        <w:t xml:space="preserve"> </w:t>
      </w:r>
      <w:r>
        <w:t xml:space="preserve">مقارنة العروض للطن ·</w:t>
      </w:r>
      <w:r>
        <w:t xml:space="preserve"> </w:t>
      </w:r>
      <w:r>
        <w:rPr>
          <w:b/>
        </w:rPr>
        <w:t xml:space="preserve">ثلاثية</w:t>
      </w:r>
      <w:r>
        <w:t xml:space="preserve"> </w:t>
      </w:r>
      <w:r>
        <w:t xml:space="preserve">مطابقة قبل الدفع ·</w:t>
      </w:r>
      <w:r>
        <w:t xml:space="preserve"> </w:t>
      </w:r>
      <w:r>
        <w:rPr>
          <w:b/>
        </w:rPr>
        <w:t xml:space="preserve">سماح</w:t>
      </w:r>
      <w:r>
        <w:t xml:space="preserve"> </w:t>
      </w:r>
      <w:r>
        <w:t xml:space="preserve">تنبيه فروق الوزن ·</w:t>
      </w:r>
      <w:r>
        <w:t xml:space="preserve"> </w:t>
      </w:r>
      <w:r>
        <w:rPr>
          <w:b/>
        </w:rPr>
        <w:t xml:space="preserve">آلي</w:t>
      </w:r>
      <w:r>
        <w:t xml:space="preserve"> </w:t>
      </w:r>
      <w:r>
        <w:t xml:space="preserve">إعادة طلب المستهلكات</w:t>
      </w:r>
    </w:p>
    <w:p>
      <w:pPr>
        <w:pStyle w:val="Heading2"/>
      </w:pPr>
      <w:bookmarkStart w:id="40" w:name="module-05-sales-order-management"/>
      <w:r>
        <w:t xml:space="preserve">4.5 Module 05 — Sales &amp; Order Management</w:t>
      </w:r>
      <w:bookmarkEnd w:id="40"/>
    </w:p>
    <w:p>
      <w:pPr>
        <w:pStyle w:val="FirstParagraph"/>
      </w:pPr>
      <w:r>
        <w:rPr>
          <w:b/>
        </w:rPr>
        <w:t xml:space="preserve">4.5 الوحدة 05 — المبيعات وإدارة الأوامر</w:t>
      </w:r>
    </w:p>
    <w:p>
      <w:pPr>
        <w:pStyle w:val="BodyText"/>
      </w:pPr>
      <w:r>
        <w:rPr>
          <w:b/>
        </w:rPr>
        <w:t xml:space="preserve">Quote on today's cost, not last quarter's.</w:t>
      </w:r>
      <w:r>
        <w:t xml:space="preserve"> </w:t>
      </w:r>
      <w:r>
        <w:t xml:space="preserve">Selling steel is a margin-per-tonne business, and a quotation priced against a cost figure that is four to twelve weeks old is a guess. Once production posts its own cost, the salesperson sees the live margin on the quotation line — before the customer signs, not after the quarter closes.</w:t>
      </w:r>
    </w:p>
    <w:p>
      <w:pPr>
        <w:pStyle w:val="BodyText"/>
      </w:pPr>
      <w:r>
        <w:rPr>
          <w:b/>
        </w:rPr>
        <w:t xml:space="preserve">سعّر على تكلفة اليوم لا على تكلفة الربع الماضي.</w:t>
      </w:r>
      <w:r>
        <w:t xml:space="preserve"> </w:t>
      </w:r>
      <w:r>
        <w:t xml:space="preserve">بيع الحديد نشاط يقوم على هامش الطن، وعرض السعر المبني على تكلفة عمرها من أربعة إلى اثني عشر أسبوعاً هو تخمين. وحين يرحّل الإنتاج تكلفته بنفسه، يرى مندوب المبيعات الهامش الحيّ على بند عرض السعر — قبل أن يوقّع العميل لا بعد إقفال الربع.</w:t>
      </w:r>
    </w:p>
    <w:p>
      <w:pPr>
        <w:pStyle w:val="Heading3"/>
      </w:pPr>
      <w:bookmarkStart w:id="41" w:name="what-it-delivers-4"/>
      <w:r>
        <w:t xml:space="preserve">What it delivers</w:t>
      </w:r>
      <w:bookmarkEnd w:id="41"/>
    </w:p>
    <w:p>
      <w:pPr>
        <w:pStyle w:val="FirstParagraph"/>
      </w:pPr>
      <w:r>
        <w:rPr>
          <w:b/>
        </w:rPr>
        <w:t xml:space="preserve">ما الذي تقدّمه</w:t>
      </w:r>
    </w:p>
    <w:p>
      <w:pPr>
        <w:numPr>
          <w:ilvl w:val="0"/>
          <w:numId w:val="1019"/>
        </w:numPr>
        <w:pStyle w:val="Compact"/>
      </w:pPr>
      <w:r>
        <w:rPr>
          <w:b/>
        </w:rPr>
        <w:t xml:space="preserve">Tonne pricing with size and grade extras</w:t>
      </w:r>
      <w:r>
        <w:t xml:space="preserve"> </w:t>
      </w:r>
      <w:r>
        <w:t xml:space="preserve">— A base price per tonne plus size, grade, length and delivery-term extras applied automatically, so the same customer is quoted the same way by every salesperson.</w:t>
      </w:r>
    </w:p>
    <w:p>
      <w:pPr>
        <w:numPr>
          <w:ilvl w:val="0"/>
          <w:numId w:val="1019"/>
        </w:numPr>
        <w:pStyle w:val="Compact"/>
      </w:pPr>
      <w:r>
        <w:rPr>
          <w:b/>
        </w:rPr>
        <w:t xml:space="preserve">Live margin at quotation</w:t>
      </w:r>
      <w:r>
        <w:t xml:space="preserve"> </w:t>
      </w:r>
      <w:r>
        <w:t xml:space="preserve">— The quoted price is tested against the current actual cost per tonne, so a thin or negative deal is visible on screen before it is confirmed.</w:t>
      </w:r>
    </w:p>
    <w:p>
      <w:pPr>
        <w:numPr>
          <w:ilvl w:val="0"/>
          <w:numId w:val="1019"/>
        </w:numPr>
        <w:pStyle w:val="Compact"/>
      </w:pPr>
      <w:r>
        <w:rPr>
          <w:b/>
        </w:rPr>
        <w:t xml:space="preserve">Contract and call-off orders</w:t>
      </w:r>
      <w:r>
        <w:t xml:space="preserve"> </w:t>
      </w:r>
      <w:r>
        <w:t xml:space="preserve">— A framework tonnage agreed with a contractor, drawn down by call-offs, with the remaining balance and the price validity tracked automatically.</w:t>
      </w:r>
    </w:p>
    <w:p>
      <w:pPr>
        <w:numPr>
          <w:ilvl w:val="0"/>
          <w:numId w:val="1019"/>
        </w:numPr>
        <w:pStyle w:val="Compact"/>
      </w:pPr>
      <w:r>
        <w:rPr>
          <w:b/>
        </w:rPr>
        <w:t xml:space="preserve">Fabrication quotations</w:t>
      </w:r>
      <w:r>
        <w:t xml:space="preserve"> </w:t>
      </w:r>
      <w:r>
        <w:t xml:space="preserve">— Cutting list, weight take-off and labour estimate priced from the same cost model the workshop will use to produce the job.</w:t>
      </w:r>
    </w:p>
    <w:p>
      <w:pPr>
        <w:numPr>
          <w:ilvl w:val="0"/>
          <w:numId w:val="1019"/>
        </w:numPr>
        <w:pStyle w:val="Compact"/>
      </w:pPr>
      <w:r>
        <w:rPr>
          <w:b/>
        </w:rPr>
        <w:t xml:space="preserve">Delivery scheduling</w:t>
      </w:r>
      <w:r>
        <w:t xml:space="preserve"> </w:t>
      </w:r>
      <w:r>
        <w:t xml:space="preserve">— Committed dates checked against yard stock and the rolling schedule, so a promise made to a contractor is a promise production has seen.</w:t>
      </w:r>
    </w:p>
    <w:p>
      <w:pPr>
        <w:numPr>
          <w:ilvl w:val="0"/>
          <w:numId w:val="1019"/>
        </w:numPr>
        <w:pStyle w:val="Compact"/>
      </w:pPr>
      <w:r>
        <w:rPr>
          <w:b/>
        </w:rPr>
        <w:t xml:space="preserve">Customer portal</w:t>
      </w:r>
      <w:r>
        <w:t xml:space="preserve"> </w:t>
      </w:r>
      <w:r>
        <w:t xml:space="preserve">— Order status, delivery notes, mill certificates, invoices and statements available to the customer without a phone call to the office.</w:t>
      </w:r>
    </w:p>
    <w:p>
      <w:pPr>
        <w:numPr>
          <w:ilvl w:val="0"/>
          <w:numId w:val="1020"/>
        </w:numPr>
        <w:pStyle w:val="Compact"/>
      </w:pPr>
      <w:r>
        <w:rPr>
          <w:b/>
        </w:rPr>
        <w:t xml:space="preserve">تسعير بالطن مع فروقات المقاس والدرجة</w:t>
      </w:r>
      <w:r>
        <w:t xml:space="preserve"> </w:t>
      </w:r>
      <w:r>
        <w:t xml:space="preserve">— سعر أساس للطن مضافاً إليه فروقات المقاس والدرجة والطول وشروط التسليم آلياً، فيُسعَّر العميل نفسه بالطريقة نفسها من كل مندوب.</w:t>
      </w:r>
    </w:p>
    <w:p>
      <w:pPr>
        <w:numPr>
          <w:ilvl w:val="0"/>
          <w:numId w:val="1020"/>
        </w:numPr>
        <w:pStyle w:val="Compact"/>
      </w:pPr>
      <w:r>
        <w:rPr>
          <w:b/>
        </w:rPr>
        <w:t xml:space="preserve">هامش حيّ عند عرض السعر</w:t>
      </w:r>
      <w:r>
        <w:t xml:space="preserve"> </w:t>
      </w:r>
      <w:r>
        <w:t xml:space="preserve">— يُختبر السعر المعروض مقابل التكلفة الفعلية الحالية للطن، فتظهر الصفقة ضعيفة الهامش أو الخاسرة على الشاشة قبل تأكيدها.</w:t>
      </w:r>
    </w:p>
    <w:p>
      <w:pPr>
        <w:numPr>
          <w:ilvl w:val="0"/>
          <w:numId w:val="1020"/>
        </w:numPr>
        <w:pStyle w:val="Compact"/>
      </w:pPr>
      <w:r>
        <w:rPr>
          <w:b/>
        </w:rPr>
        <w:t xml:space="preserve">عقود إطارية وأوامر سحب</w:t>
      </w:r>
      <w:r>
        <w:t xml:space="preserve"> </w:t>
      </w:r>
      <w:r>
        <w:t xml:space="preserve">— كمية إطارية متفق عليها مع المقاول تُسحَب على دفعات، مع تتبّع الرصيد المتبقي وصلاحية السعر آلياً.</w:t>
      </w:r>
    </w:p>
    <w:p>
      <w:pPr>
        <w:numPr>
          <w:ilvl w:val="0"/>
          <w:numId w:val="1020"/>
        </w:numPr>
        <w:pStyle w:val="Compact"/>
      </w:pPr>
      <w:r>
        <w:rPr>
          <w:b/>
        </w:rPr>
        <w:t xml:space="preserve">عروض أسعار التشكيل</w:t>
      </w:r>
      <w:r>
        <w:t xml:space="preserve"> </w:t>
      </w:r>
      <w:r>
        <w:t xml:space="preserve">— قائمة القص وحصر الأوزان وتقدير العمالة مسعَّرة من نموذج التكلفة نفسه الذي ستستخدمه الورشة للتنفيذ.</w:t>
      </w:r>
    </w:p>
    <w:p>
      <w:pPr>
        <w:numPr>
          <w:ilvl w:val="0"/>
          <w:numId w:val="1020"/>
        </w:numPr>
        <w:pStyle w:val="Compact"/>
      </w:pPr>
      <w:r>
        <w:rPr>
          <w:b/>
        </w:rPr>
        <w:t xml:space="preserve">جدولة التسليم</w:t>
      </w:r>
      <w:r>
        <w:t xml:space="preserve"> </w:t>
      </w:r>
      <w:r>
        <w:t xml:space="preserve">— تُختبر التواريخ الملتزَم بها مقابل مخزون الساحة وجدول الدرفلة، فيكون الوعد للمقاول وعداً رآه الإنتاج.</w:t>
      </w:r>
    </w:p>
    <w:p>
      <w:pPr>
        <w:numPr>
          <w:ilvl w:val="0"/>
          <w:numId w:val="1020"/>
        </w:numPr>
        <w:pStyle w:val="Compact"/>
      </w:pPr>
      <w:r>
        <w:rPr>
          <w:b/>
        </w:rPr>
        <w:t xml:space="preserve">بوابة العملاء</w:t>
      </w:r>
      <w:r>
        <w:t xml:space="preserve"> </w:t>
      </w:r>
      <w:r>
        <w:t xml:space="preserve">— حالة الأمر وإشعارات التسليم وشهادات المصنع والفواتير وكشوف الحساب متاحة للعميل دون اتصال بالمكتب.</w:t>
      </w:r>
    </w:p>
    <w:p>
      <w:pPr>
        <w:pStyle w:val="Heading3"/>
      </w:pPr>
      <w:bookmarkStart w:id="42" w:name="how-it-runs-day-to-day-4"/>
      <w:r>
        <w:t xml:space="preserve">How it runs day to day</w:t>
      </w:r>
      <w:bookmarkEnd w:id="42"/>
    </w:p>
    <w:p>
      <w:pPr>
        <w:pStyle w:val="FirstParagraph"/>
      </w:pPr>
      <w:r>
        <w:rPr>
          <w:b/>
        </w:rPr>
        <w:t xml:space="preserve">كيف تعمل يومياً</w:t>
      </w:r>
    </w:p>
    <w:p>
      <w:pPr>
        <w:numPr>
          <w:ilvl w:val="0"/>
          <w:numId w:val="1021"/>
        </w:numPr>
        <w:pStyle w:val="Compact"/>
      </w:pPr>
      <w:r>
        <w:t xml:space="preserve">Sales order confirmed from an accepted quotation, with the credit limit checked at entry</w:t>
      </w:r>
    </w:p>
    <w:p>
      <w:pPr>
        <w:numPr>
          <w:ilvl w:val="0"/>
          <w:numId w:val="1021"/>
        </w:numPr>
        <w:pStyle w:val="Compact"/>
      </w:pPr>
      <w:r>
        <w:t xml:space="preserve">Tonnage reserved from yard stock or scheduled into the rolling plan for the required size</w:t>
      </w:r>
    </w:p>
    <w:p>
      <w:pPr>
        <w:numPr>
          <w:ilvl w:val="0"/>
          <w:numId w:val="1021"/>
        </w:numPr>
        <w:pStyle w:val="Compact"/>
      </w:pPr>
      <w:r>
        <w:t xml:space="preserve">Goods loaded and weighed out against a delivery note carrying heat numbers and tag numbers</w:t>
      </w:r>
    </w:p>
    <w:p>
      <w:pPr>
        <w:numPr>
          <w:ilvl w:val="0"/>
          <w:numId w:val="1021"/>
        </w:numPr>
        <w:pStyle w:val="Compact"/>
      </w:pPr>
      <w:r>
        <w:t xml:space="preserve">Invoice raised on the weight actually delivered, not the weight originally ordered</w:t>
      </w:r>
    </w:p>
    <w:p>
      <w:pPr>
        <w:numPr>
          <w:ilvl w:val="0"/>
          <w:numId w:val="1021"/>
        </w:numPr>
        <w:pStyle w:val="Compact"/>
      </w:pPr>
      <w:r>
        <w:t xml:space="preserve">Payment recorded, the customer balance updated and the credit position refreshed in real time</w:t>
      </w:r>
    </w:p>
    <w:p>
      <w:pPr>
        <w:numPr>
          <w:ilvl w:val="0"/>
          <w:numId w:val="1021"/>
        </w:numPr>
        <w:pStyle w:val="Compact"/>
      </w:pPr>
      <w:r>
        <w:t xml:space="preserve">Margin per tonne reported by order, customer, product and salesperson</w:t>
      </w:r>
    </w:p>
    <w:p>
      <w:pPr>
        <w:numPr>
          <w:ilvl w:val="0"/>
          <w:numId w:val="1022"/>
        </w:numPr>
        <w:pStyle w:val="Compact"/>
      </w:pPr>
      <w:r>
        <w:t xml:space="preserve">تأكيد أمر البيع من عرض سعر مقبول مع فحص حد الائتمان عند الإدخال</w:t>
      </w:r>
    </w:p>
    <w:p>
      <w:pPr>
        <w:numPr>
          <w:ilvl w:val="0"/>
          <w:numId w:val="1022"/>
        </w:numPr>
        <w:pStyle w:val="Compact"/>
      </w:pPr>
      <w:r>
        <w:t xml:space="preserve">حجز الكمية من مخزون الساحة أو جدولتها في خطة الدرفلة للمقاس المطلوب</w:t>
      </w:r>
    </w:p>
    <w:p>
      <w:pPr>
        <w:numPr>
          <w:ilvl w:val="0"/>
          <w:numId w:val="1022"/>
        </w:numPr>
        <w:pStyle w:val="Compact"/>
      </w:pPr>
      <w:r>
        <w:t xml:space="preserve">تحميل البضاعة ووزنها عند الخروج مقابل إشعار تسليم يحمل أرقام الصبّات وأرقام البطاقات</w:t>
      </w:r>
    </w:p>
    <w:p>
      <w:pPr>
        <w:numPr>
          <w:ilvl w:val="0"/>
          <w:numId w:val="1022"/>
        </w:numPr>
        <w:pStyle w:val="Compact"/>
      </w:pPr>
      <w:r>
        <w:t xml:space="preserve">إصدار الفاتورة على الوزن المسلَّم فعلاً لا على الوزن المطلوب أصلاً</w:t>
      </w:r>
    </w:p>
    <w:p>
      <w:pPr>
        <w:numPr>
          <w:ilvl w:val="0"/>
          <w:numId w:val="1022"/>
        </w:numPr>
        <w:pStyle w:val="Compact"/>
      </w:pPr>
      <w:r>
        <w:t xml:space="preserve">تسجيل الدفعة وتحديث رصيد العميل ووضعه الائتماني لحظياً</w:t>
      </w:r>
    </w:p>
    <w:p>
      <w:pPr>
        <w:numPr>
          <w:ilvl w:val="0"/>
          <w:numId w:val="1022"/>
        </w:numPr>
        <w:pStyle w:val="Compact"/>
      </w:pPr>
      <w:r>
        <w:t xml:space="preserve">تقرير هامش الطن حسب الأمر والعميل والمنتج والمندوب</w:t>
      </w:r>
    </w:p>
    <w:p>
      <w:pPr>
        <w:pStyle w:val="Heading3"/>
      </w:pPr>
      <w:bookmarkStart w:id="43" w:name="what-you-receive-4"/>
      <w:r>
        <w:t xml:space="preserve">What you receive</w:t>
      </w:r>
      <w:bookmarkEnd w:id="43"/>
    </w:p>
    <w:p>
      <w:pPr>
        <w:pStyle w:val="FirstParagraph"/>
      </w:pPr>
      <w:r>
        <w:rPr>
          <w:b/>
        </w:rPr>
        <w:t xml:space="preserve">ما الذي تستلمونه</w:t>
      </w:r>
    </w:p>
    <w:tbl>
      <w:tblPr>
        <w:tblStyle w:val="Table"/>
        <w:tblW w:type="pct" w:w="0.0"/>
        <w:tblLook w:firstRow="1"/>
      </w:tblPr>
      <w:tblGrid/>
      <w:tr>
        <w:trPr>
          <w:cnfStyle w:firstRow="1"/>
        </w:trPr>
        <w:tc>
          <w:tcPr>
            <w:tcBorders>
              <w:bottom w:val="single"/>
            </w:tcBorders>
            <w:vAlign w:val="bottom"/>
          </w:tcPr>
          <w:p>
            <w:pPr>
              <w:pStyle w:val="Compact"/>
              <w:jc w:val="left"/>
            </w:pPr>
            <w:r>
              <w:t xml:space="preserve">Deliverable</w:t>
            </w:r>
          </w:p>
        </w:tc>
        <w:tc>
          <w:tcPr>
            <w:tcBorders>
              <w:bottom w:val="single"/>
            </w:tcBorders>
            <w:vAlign w:val="bottom"/>
          </w:tcPr>
          <w:p>
            <w:pPr>
              <w:pStyle w:val="Compact"/>
              <w:jc w:val="left"/>
            </w:pPr>
            <w:r>
              <w:t xml:space="preserve">Detail</w:t>
            </w:r>
          </w:p>
        </w:tc>
      </w:tr>
      <w:tr>
        <w:tc>
          <w:p>
            <w:pPr>
              <w:pStyle w:val="Compact"/>
              <w:jc w:val="left"/>
            </w:pPr>
            <w:r>
              <w:t xml:space="preserve">Order-to-cash flow</w:t>
            </w:r>
          </w:p>
        </w:tc>
        <w:tc>
          <w:p>
            <w:pPr>
              <w:pStyle w:val="Compact"/>
              <w:jc w:val="left"/>
            </w:pPr>
            <w:r>
              <w:t xml:space="preserve">Quotation, order, reservation, weighed delivery, invoice, collection</w:t>
            </w:r>
          </w:p>
        </w:tc>
      </w:tr>
      <w:tr>
        <w:tc>
          <w:p>
            <w:pPr>
              <w:pStyle w:val="Compact"/>
              <w:jc w:val="left"/>
            </w:pPr>
            <w:r>
              <w:t xml:space="preserve">Price list structure</w:t>
            </w:r>
          </w:p>
        </w:tc>
        <w:tc>
          <w:p>
            <w:pPr>
              <w:pStyle w:val="Compact"/>
              <w:jc w:val="left"/>
            </w:pPr>
            <w:r>
              <w:t xml:space="preserve">Base price per tonne plus size, grade and term extras, with validity dates</w:t>
            </w:r>
          </w:p>
        </w:tc>
      </w:tr>
      <w:tr>
        <w:tc>
          <w:p>
            <w:pPr>
              <w:pStyle w:val="Compact"/>
              <w:jc w:val="left"/>
            </w:pPr>
            <w:r>
              <w:t xml:space="preserve">Delivery documents</w:t>
            </w:r>
          </w:p>
        </w:tc>
        <w:tc>
          <w:p>
            <w:pPr>
              <w:pStyle w:val="Compact"/>
              <w:jc w:val="left"/>
            </w:pPr>
            <w:r>
              <w:t xml:space="preserve">Branded delivery notes and mill certificates carrying heat numbers</w:t>
            </w:r>
          </w:p>
        </w:tc>
      </w:tr>
      <w:tr>
        <w:tc>
          <w:p>
            <w:pPr>
              <w:pStyle w:val="Compact"/>
              <w:jc w:val="left"/>
            </w:pPr>
            <w:r>
              <w:t xml:space="preserve">Sales analysis</w:t>
            </w:r>
          </w:p>
        </w:tc>
        <w:tc>
          <w:p>
            <w:pPr>
              <w:pStyle w:val="Compact"/>
              <w:jc w:val="left"/>
            </w:pPr>
            <w:r>
              <w:t xml:space="preserve">Revenue, tonnage and margin per tonne by product, grade, customer and salesperson</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المُخرَج</w:t>
            </w:r>
          </w:p>
        </w:tc>
        <w:tc>
          <w:tcPr>
            <w:tcBorders>
              <w:bottom w:val="single"/>
            </w:tcBorders>
            <w:vAlign w:val="bottom"/>
          </w:tcPr>
          <w:p>
            <w:pPr>
              <w:pStyle w:val="Compact"/>
              <w:jc w:val="left"/>
            </w:pPr>
            <w:r>
              <w:t xml:space="preserve">التفصيل</w:t>
            </w:r>
          </w:p>
        </w:tc>
      </w:tr>
      <w:tr>
        <w:tc>
          <w:p>
            <w:pPr>
              <w:pStyle w:val="Compact"/>
              <w:jc w:val="left"/>
            </w:pPr>
            <w:r>
              <w:t xml:space="preserve">دورة الأمر حتى التحصيل</w:t>
            </w:r>
          </w:p>
        </w:tc>
        <w:tc>
          <w:p>
            <w:pPr>
              <w:pStyle w:val="Compact"/>
              <w:jc w:val="left"/>
            </w:pPr>
            <w:r>
              <w:t xml:space="preserve">عرض سعر، أمر، حجز، تسليم موزون، فاتورة، تحصيل</w:t>
            </w:r>
          </w:p>
        </w:tc>
      </w:tr>
      <w:tr>
        <w:tc>
          <w:p>
            <w:pPr>
              <w:pStyle w:val="Compact"/>
              <w:jc w:val="left"/>
            </w:pPr>
            <w:r>
              <w:t xml:space="preserve">هيكل قوائم الأسعار</w:t>
            </w:r>
          </w:p>
        </w:tc>
        <w:tc>
          <w:p>
            <w:pPr>
              <w:pStyle w:val="Compact"/>
              <w:jc w:val="left"/>
            </w:pPr>
            <w:r>
              <w:t xml:space="preserve">سعر أساس للطن مع فروقات المقاس والدرجة والشروط وتواريخ الصلاحية</w:t>
            </w:r>
          </w:p>
        </w:tc>
      </w:tr>
      <w:tr>
        <w:tc>
          <w:p>
            <w:pPr>
              <w:pStyle w:val="Compact"/>
              <w:jc w:val="left"/>
            </w:pPr>
            <w:r>
              <w:t xml:space="preserve">مستندات التسليم</w:t>
            </w:r>
          </w:p>
        </w:tc>
        <w:tc>
          <w:p>
            <w:pPr>
              <w:pStyle w:val="Compact"/>
              <w:jc w:val="left"/>
            </w:pPr>
            <w:r>
              <w:t xml:space="preserve">إشعارات تسليم وشهادات مصنع بعلامتكم التجارية تحمل أرقام الصبّات</w:t>
            </w:r>
          </w:p>
        </w:tc>
      </w:tr>
      <w:tr>
        <w:tc>
          <w:p>
            <w:pPr>
              <w:pStyle w:val="Compact"/>
              <w:jc w:val="left"/>
            </w:pPr>
            <w:r>
              <w:t xml:space="preserve">تحليل المبيعات</w:t>
            </w:r>
          </w:p>
        </w:tc>
        <w:tc>
          <w:p>
            <w:pPr>
              <w:pStyle w:val="Compact"/>
              <w:jc w:val="left"/>
            </w:pPr>
            <w:r>
              <w:t xml:space="preserve">الإيراد والأطنان وهامش الطن حسب المنتج والدرجة والعميل والمندوب</w:t>
            </w:r>
          </w:p>
        </w:tc>
      </w:tr>
    </w:tbl>
    <w:p>
      <w:pPr>
        <w:pStyle w:val="BodyText"/>
      </w:pPr>
      <w:r>
        <w:rPr>
          <w:b/>
        </w:rPr>
        <w:t xml:space="preserve">At quote</w:t>
      </w:r>
      <w:r>
        <w:t xml:space="preserve"> </w:t>
      </w:r>
      <w:r>
        <w:t xml:space="preserve">Margin per tonne visible ·</w:t>
      </w:r>
      <w:r>
        <w:t xml:space="preserve"> </w:t>
      </w:r>
      <w:r>
        <w:rPr>
          <w:b/>
        </w:rPr>
        <w:t xml:space="preserve">Delivered</w:t>
      </w:r>
      <w:r>
        <w:t xml:space="preserve"> </w:t>
      </w:r>
      <w:r>
        <w:t xml:space="preserve">Invoiced on weighed quantity ·</w:t>
      </w:r>
      <w:r>
        <w:t xml:space="preserve"> </w:t>
      </w:r>
      <w:r>
        <w:rPr>
          <w:b/>
        </w:rPr>
        <w:t xml:space="preserve">Call-off</w:t>
      </w:r>
      <w:r>
        <w:t xml:space="preserve"> </w:t>
      </w:r>
      <w:r>
        <w:t xml:space="preserve">Contract balance tracked ·</w:t>
      </w:r>
      <w:r>
        <w:t xml:space="preserve"> </w:t>
      </w:r>
      <w:r>
        <w:rPr>
          <w:b/>
        </w:rPr>
        <w:t xml:space="preserve">Portal</w:t>
      </w:r>
      <w:r>
        <w:t xml:space="preserve"> </w:t>
      </w:r>
      <w:r>
        <w:t xml:space="preserve">Certificates and statements</w:t>
      </w:r>
    </w:p>
    <w:p>
      <w:pPr>
        <w:pStyle w:val="BodyText"/>
      </w:pPr>
      <w:r>
        <w:rPr>
          <w:b/>
        </w:rPr>
        <w:t xml:space="preserve">عند التسعير</w:t>
      </w:r>
      <w:r>
        <w:t xml:space="preserve"> </w:t>
      </w:r>
      <w:r>
        <w:t xml:space="preserve">هامش الطن ظاهر ·</w:t>
      </w:r>
      <w:r>
        <w:t xml:space="preserve"> </w:t>
      </w:r>
      <w:r>
        <w:rPr>
          <w:b/>
        </w:rPr>
        <w:t xml:space="preserve">المسلَّم</w:t>
      </w:r>
      <w:r>
        <w:t xml:space="preserve"> </w:t>
      </w:r>
      <w:r>
        <w:t xml:space="preserve">الفوترة على الوزن الفعلي ·</w:t>
      </w:r>
      <w:r>
        <w:t xml:space="preserve"> </w:t>
      </w:r>
      <w:r>
        <w:rPr>
          <w:b/>
        </w:rPr>
        <w:t xml:space="preserve">السحب</w:t>
      </w:r>
      <w:r>
        <w:t xml:space="preserve"> </w:t>
      </w:r>
      <w:r>
        <w:t xml:space="preserve">تتبّع رصيد العقد ·</w:t>
      </w:r>
      <w:r>
        <w:t xml:space="preserve"> </w:t>
      </w:r>
      <w:r>
        <w:rPr>
          <w:b/>
        </w:rPr>
        <w:t xml:space="preserve">البوابة</w:t>
      </w:r>
      <w:r>
        <w:t xml:space="preserve"> </w:t>
      </w:r>
      <w:r>
        <w:t xml:space="preserve">الشهادات وكشوف الحساب</w:t>
      </w:r>
    </w:p>
    <w:p>
      <w:pPr>
        <w:pStyle w:val="Heading2"/>
      </w:pPr>
      <w:bookmarkStart w:id="44" w:name="module-06-crm-marketing"/>
      <w:r>
        <w:t xml:space="preserve">4.6 Module 06 — CRM &amp; Marketing</w:t>
      </w:r>
      <w:bookmarkEnd w:id="44"/>
    </w:p>
    <w:p>
      <w:pPr>
        <w:pStyle w:val="FirstParagraph"/>
      </w:pPr>
      <w:r>
        <w:rPr>
          <w:b/>
        </w:rPr>
        <w:t xml:space="preserve">4.6 الوحدة 06 — إدارة علاقات العملاء والتسويق</w:t>
      </w:r>
    </w:p>
    <w:p>
      <w:pPr>
        <w:pStyle w:val="BodyText"/>
      </w:pPr>
      <w:r>
        <w:rPr>
          <w:b/>
        </w:rPr>
        <w:t xml:space="preserve">Forecast the tonnes, not only the dinars.</w:t>
      </w:r>
      <w:r>
        <w:t xml:space="preserve"> </w:t>
      </w:r>
      <w:r>
        <w:t xml:space="preserve">Contractors, traders, fabricators and government tenders each behave differently, and the rolling schedule needs to know what is coming in tonnes and sizes — not just in value. One pipeline holds every enquiry with its expected tonnage, grade and delivery window, so commercial expectation and production planning finally read from the same sheet.</w:t>
      </w:r>
    </w:p>
    <w:p>
      <w:pPr>
        <w:pStyle w:val="BodyText"/>
      </w:pPr>
      <w:r>
        <w:rPr>
          <w:b/>
        </w:rPr>
        <w:t xml:space="preserve">توقَّع الأطنان لا الدنانير وحدها.</w:t>
      </w:r>
      <w:r>
        <w:t xml:space="preserve"> </w:t>
      </w:r>
      <w:r>
        <w:t xml:space="preserve">المقاولون والتجار وورش التشكيل والمناقصات الحكومية يتصرف كل منهم بطريقة مختلفة، وجدول الدرفلة يحتاج أن يعرف ما هو قادم بالأطنان والمقاسات لا بالقيمة فقط. مسار واحد يضم كل استفسار مع الكمية المتوقعة والدرجة ونافذة التسليم، فتقرأ التوقعات التجارية وتخطيط الإنتاج أخيراً من الورقة نفسها.</w:t>
      </w:r>
    </w:p>
    <w:p>
      <w:pPr>
        <w:pStyle w:val="Heading3"/>
      </w:pPr>
      <w:bookmarkStart w:id="45" w:name="what-it-delivers-5"/>
      <w:r>
        <w:t xml:space="preserve">What it delivers</w:t>
      </w:r>
      <w:bookmarkEnd w:id="45"/>
    </w:p>
    <w:p>
      <w:pPr>
        <w:pStyle w:val="FirstParagraph"/>
      </w:pPr>
      <w:r>
        <w:rPr>
          <w:b/>
        </w:rPr>
        <w:t xml:space="preserve">ما الذي تقدّمه</w:t>
      </w:r>
    </w:p>
    <w:p>
      <w:pPr>
        <w:numPr>
          <w:ilvl w:val="0"/>
          <w:numId w:val="1023"/>
        </w:numPr>
        <w:pStyle w:val="Compact"/>
      </w:pPr>
      <w:r>
        <w:rPr>
          <w:b/>
        </w:rPr>
        <w:t xml:space="preserve">Enquiry capture from every channel</w:t>
      </w:r>
      <w:r>
        <w:t xml:space="preserve"> </w:t>
      </w:r>
      <w:r>
        <w:t xml:space="preserve">— Phone, email, WhatsApp, website and walk-in trader enquiries all land in one inbox with the source recorded, so nothing depends on one person's notebook.</w:t>
      </w:r>
    </w:p>
    <w:p>
      <w:pPr>
        <w:numPr>
          <w:ilvl w:val="0"/>
          <w:numId w:val="1023"/>
        </w:numPr>
        <w:pStyle w:val="Compact"/>
      </w:pPr>
      <w:r>
        <w:rPr>
          <w:b/>
        </w:rPr>
        <w:t xml:space="preserve">Tender and project pipeline</w:t>
      </w:r>
      <w:r>
        <w:t xml:space="preserve"> </w:t>
      </w:r>
      <w:r>
        <w:t xml:space="preserve">— A contractor's project tracked from tender to award to call-off, with the expected tonnage, sizes and delivery window attached to each stage.</w:t>
      </w:r>
    </w:p>
    <w:p>
      <w:pPr>
        <w:numPr>
          <w:ilvl w:val="0"/>
          <w:numId w:val="1023"/>
        </w:numPr>
        <w:pStyle w:val="Compact"/>
      </w:pPr>
      <w:r>
        <w:rPr>
          <w:b/>
        </w:rPr>
        <w:t xml:space="preserve">Weighted tonnage forecast</w:t>
      </w:r>
      <w:r>
        <w:t xml:space="preserve"> </w:t>
      </w:r>
      <w:r>
        <w:t xml:space="preserve">— The pipeline forecasts tonnes as well as value, which is the number the rolling schedule and the billet buyer actually need.</w:t>
      </w:r>
    </w:p>
    <w:p>
      <w:pPr>
        <w:numPr>
          <w:ilvl w:val="0"/>
          <w:numId w:val="1023"/>
        </w:numPr>
        <w:pStyle w:val="Compact"/>
      </w:pPr>
      <w:r>
        <w:rPr>
          <w:b/>
        </w:rPr>
        <w:t xml:space="preserve">Follow-up discipline</w:t>
      </w:r>
      <w:r>
        <w:t xml:space="preserve"> </w:t>
      </w:r>
      <w:r>
        <w:t xml:space="preserve">— Every open quotation carries a next action with an owner and a date; overdue follow-ups are surfaced to management instead of quietly ageing.</w:t>
      </w:r>
    </w:p>
    <w:p>
      <w:pPr>
        <w:numPr>
          <w:ilvl w:val="0"/>
          <w:numId w:val="1023"/>
        </w:numPr>
        <w:pStyle w:val="Compact"/>
      </w:pPr>
      <w:r>
        <w:rPr>
          <w:b/>
        </w:rPr>
        <w:t xml:space="preserve">Win and loss reasons</w:t>
      </w:r>
      <w:r>
        <w:t xml:space="preserve"> </w:t>
      </w:r>
      <w:r>
        <w:t xml:space="preserve">— Structured reasons — price, lead time, grade availability, credit terms — turn lost deals into a measurable pattern the CFO can act on.</w:t>
      </w:r>
    </w:p>
    <w:p>
      <w:pPr>
        <w:numPr>
          <w:ilvl w:val="0"/>
          <w:numId w:val="1023"/>
        </w:numPr>
        <w:pStyle w:val="Compact"/>
      </w:pPr>
      <w:r>
        <w:rPr>
          <w:b/>
        </w:rPr>
        <w:t xml:space="preserve">Customer 360</w:t>
      </w:r>
      <w:r>
        <w:t xml:space="preserve"> </w:t>
      </w:r>
      <w:r>
        <w:t xml:space="preserve">— Opportunities, orders, delivered tonnage, invoices, balance, credit limit and open disputes on one screen before a price is given.</w:t>
      </w:r>
    </w:p>
    <w:p>
      <w:pPr>
        <w:numPr>
          <w:ilvl w:val="0"/>
          <w:numId w:val="1024"/>
        </w:numPr>
        <w:pStyle w:val="Compact"/>
      </w:pPr>
      <w:r>
        <w:rPr>
          <w:b/>
        </w:rPr>
        <w:t xml:space="preserve">التقاط الاستفسارات من كل قناة</w:t>
      </w:r>
      <w:r>
        <w:t xml:space="preserve"> </w:t>
      </w:r>
      <w:r>
        <w:t xml:space="preserve">— الهاتف والبريد وواتساب والموقع واستفسارات التجار الحضورية تصل جميعها إلى صندوق واحد مع تسجيل المصدر، فلا يعتمد شيء على دفتر شخص واحد.</w:t>
      </w:r>
    </w:p>
    <w:p>
      <w:pPr>
        <w:numPr>
          <w:ilvl w:val="0"/>
          <w:numId w:val="1024"/>
        </w:numPr>
        <w:pStyle w:val="Compact"/>
      </w:pPr>
      <w:r>
        <w:rPr>
          <w:b/>
        </w:rPr>
        <w:t xml:space="preserve">مسار المناقصات والمشاريع</w:t>
      </w:r>
      <w:r>
        <w:t xml:space="preserve"> </w:t>
      </w:r>
      <w:r>
        <w:t xml:space="preserve">— تتبّع مشروع المقاول من المناقصة إلى الترسية إلى أوامر السحب، مع الكمية المتوقعة والمقاسات ونافذة التسليم في كل مرحلة.</w:t>
      </w:r>
    </w:p>
    <w:p>
      <w:pPr>
        <w:numPr>
          <w:ilvl w:val="0"/>
          <w:numId w:val="1024"/>
        </w:numPr>
        <w:pStyle w:val="Compact"/>
      </w:pPr>
      <w:r>
        <w:rPr>
          <w:b/>
        </w:rPr>
        <w:t xml:space="preserve">توقّع مرجَّح بالأطنان</w:t>
      </w:r>
      <w:r>
        <w:t xml:space="preserve"> </w:t>
      </w:r>
      <w:r>
        <w:t xml:space="preserve">— يتوقع المسار الأطنان كما يتوقع القيمة، وهو الرقم الذي يحتاجه فعلاً جدول الدرفلة ومشتري البيليت.</w:t>
      </w:r>
    </w:p>
    <w:p>
      <w:pPr>
        <w:numPr>
          <w:ilvl w:val="0"/>
          <w:numId w:val="1024"/>
        </w:numPr>
        <w:pStyle w:val="Compact"/>
      </w:pPr>
      <w:r>
        <w:rPr>
          <w:b/>
        </w:rPr>
        <w:t xml:space="preserve">انضباط المتابعة</w:t>
      </w:r>
      <w:r>
        <w:t xml:space="preserve"> </w:t>
      </w:r>
      <w:r>
        <w:t xml:space="preserve">— كل عرض سعر مفتوح يحمل إجراءً تالياً بمسؤول وتاريخ، وتُعرَض المتابعات المتأخرة على الإدارة بدل أن تتقادم بصمت.</w:t>
      </w:r>
    </w:p>
    <w:p>
      <w:pPr>
        <w:numPr>
          <w:ilvl w:val="0"/>
          <w:numId w:val="1024"/>
        </w:numPr>
        <w:pStyle w:val="Compact"/>
      </w:pPr>
      <w:r>
        <w:rPr>
          <w:b/>
        </w:rPr>
        <w:t xml:space="preserve">أسباب الكسب والخسارة</w:t>
      </w:r>
      <w:r>
        <w:t xml:space="preserve"> </w:t>
      </w:r>
      <w:r>
        <w:t xml:space="preserve">— أسباب مقنَّنة — السعر ومدة التوريد وتوفّر الدرجة وشروط الائتمان — تحوّل الصفقات المفقودة إلى نمط قابل للقياس يتصرف بناءً عليه المدير المالي.</w:t>
      </w:r>
    </w:p>
    <w:p>
      <w:pPr>
        <w:numPr>
          <w:ilvl w:val="0"/>
          <w:numId w:val="1024"/>
        </w:numPr>
        <w:pStyle w:val="Compact"/>
      </w:pPr>
      <w:r>
        <w:rPr>
          <w:b/>
        </w:rPr>
        <w:t xml:space="preserve">رؤية 360 للعميل</w:t>
      </w:r>
      <w:r>
        <w:t xml:space="preserve"> </w:t>
      </w:r>
      <w:r>
        <w:t xml:space="preserve">— الفرص والأوامر والأطنان المسلَّمة والفواتير والرصيد وحد الائتمان والنزاعات المفتوحة على شاشة واحدة قبل إعطاء أي سعر.</w:t>
      </w:r>
    </w:p>
    <w:p>
      <w:pPr>
        <w:pStyle w:val="Heading3"/>
      </w:pPr>
      <w:bookmarkStart w:id="46" w:name="how-it-runs-day-to-day-5"/>
      <w:r>
        <w:t xml:space="preserve">How it runs day to day</w:t>
      </w:r>
      <w:bookmarkEnd w:id="46"/>
    </w:p>
    <w:p>
      <w:pPr>
        <w:pStyle w:val="FirstParagraph"/>
      </w:pPr>
      <w:r>
        <w:rPr>
          <w:b/>
        </w:rPr>
        <w:t xml:space="preserve">كيف تعمل يومياً</w:t>
      </w:r>
    </w:p>
    <w:p>
      <w:pPr>
        <w:numPr>
          <w:ilvl w:val="0"/>
          <w:numId w:val="1025"/>
        </w:numPr>
        <w:pStyle w:val="Compact"/>
      </w:pPr>
      <w:r>
        <w:t xml:space="preserve">Enquiry captured and assigned by segment, territory or product line with its source recorded</w:t>
      </w:r>
    </w:p>
    <w:p>
      <w:pPr>
        <w:numPr>
          <w:ilvl w:val="0"/>
          <w:numId w:val="1025"/>
        </w:numPr>
        <w:pStyle w:val="Compact"/>
      </w:pPr>
      <w:r>
        <w:t xml:space="preserve">Qualification logged: project, tonnage, grade, delivery window, decision maker and credit standing</w:t>
      </w:r>
    </w:p>
    <w:p>
      <w:pPr>
        <w:numPr>
          <w:ilvl w:val="0"/>
          <w:numId w:val="1025"/>
        </w:numPr>
        <w:pStyle w:val="Compact"/>
      </w:pPr>
      <w:r>
        <w:t xml:space="preserve">Quotation built from the live price list with the margin per tonne checked before it is sent</w:t>
      </w:r>
    </w:p>
    <w:p>
      <w:pPr>
        <w:numPr>
          <w:ilvl w:val="0"/>
          <w:numId w:val="1025"/>
        </w:numPr>
        <w:pStyle w:val="Compact"/>
      </w:pPr>
      <w:r>
        <w:t xml:space="preserve">Follow-up activities scheduled automatically until the customer gives an answer</w:t>
      </w:r>
    </w:p>
    <w:p>
      <w:pPr>
        <w:numPr>
          <w:ilvl w:val="0"/>
          <w:numId w:val="1025"/>
        </w:numPr>
        <w:pStyle w:val="Compact"/>
      </w:pPr>
      <w:r>
        <w:t xml:space="preserve">Won opportunity converts to a sales order without a single field being retyped</w:t>
      </w:r>
    </w:p>
    <w:p>
      <w:pPr>
        <w:numPr>
          <w:ilvl w:val="0"/>
          <w:numId w:val="1025"/>
        </w:numPr>
        <w:pStyle w:val="Compact"/>
      </w:pPr>
      <w:r>
        <w:t xml:space="preserve">Lost opportunity closed with a structured reason that feeds the win/loss report</w:t>
      </w:r>
    </w:p>
    <w:p>
      <w:pPr>
        <w:numPr>
          <w:ilvl w:val="0"/>
          <w:numId w:val="1026"/>
        </w:numPr>
        <w:pStyle w:val="Compact"/>
      </w:pPr>
      <w:r>
        <w:t xml:space="preserve">التقاط الاستفسار وإسناده حسب القطاع أو المنطقة أو خط المنتج مع تسجيل مصدره</w:t>
      </w:r>
    </w:p>
    <w:p>
      <w:pPr>
        <w:numPr>
          <w:ilvl w:val="0"/>
          <w:numId w:val="1026"/>
        </w:numPr>
        <w:pStyle w:val="Compact"/>
      </w:pPr>
      <w:r>
        <w:t xml:space="preserve">تسجيل التأهيل: المشروع والكمية والدرجة ونافذة التسليم وصاحب القرار والوضع الائتماني</w:t>
      </w:r>
    </w:p>
    <w:p>
      <w:pPr>
        <w:numPr>
          <w:ilvl w:val="0"/>
          <w:numId w:val="1026"/>
        </w:numPr>
        <w:pStyle w:val="Compact"/>
      </w:pPr>
      <w:r>
        <w:t xml:space="preserve">بناء عرض السعر من قائمة الأسعار الحيّة مع فحص هامش الطن قبل الإرسال</w:t>
      </w:r>
    </w:p>
    <w:p>
      <w:pPr>
        <w:numPr>
          <w:ilvl w:val="0"/>
          <w:numId w:val="1026"/>
        </w:numPr>
        <w:pStyle w:val="Compact"/>
      </w:pPr>
      <w:r>
        <w:t xml:space="preserve">جدولة أنشطة المتابعة آلياً حتى يعطي العميل جواباً</w:t>
      </w:r>
    </w:p>
    <w:p>
      <w:pPr>
        <w:numPr>
          <w:ilvl w:val="0"/>
          <w:numId w:val="1026"/>
        </w:numPr>
        <w:pStyle w:val="Compact"/>
      </w:pPr>
      <w:r>
        <w:t xml:space="preserve">تحويل الفرصة المكسوبة إلى أمر بيع دون إعادة كتابة أي حقل</w:t>
      </w:r>
    </w:p>
    <w:p>
      <w:pPr>
        <w:numPr>
          <w:ilvl w:val="0"/>
          <w:numId w:val="1026"/>
        </w:numPr>
        <w:pStyle w:val="Compact"/>
      </w:pPr>
      <w:r>
        <w:t xml:space="preserve">إقفال الفرصة المفقودة بسبب مقنَّن يغذّي تقرير الكسب والخسارة</w:t>
      </w:r>
    </w:p>
    <w:p>
      <w:pPr>
        <w:pStyle w:val="Heading3"/>
      </w:pPr>
      <w:bookmarkStart w:id="47" w:name="what-you-receive-5"/>
      <w:r>
        <w:t xml:space="preserve">What you receive</w:t>
      </w:r>
      <w:bookmarkEnd w:id="47"/>
    </w:p>
    <w:p>
      <w:pPr>
        <w:pStyle w:val="FirstParagraph"/>
      </w:pPr>
      <w:r>
        <w:rPr>
          <w:b/>
        </w:rPr>
        <w:t xml:space="preserve">ما الذي تستلمونه</w:t>
      </w:r>
    </w:p>
    <w:tbl>
      <w:tblPr>
        <w:tblStyle w:val="Table"/>
        <w:tblW w:type="pct" w:w="0.0"/>
        <w:tblLook w:firstRow="1"/>
      </w:tblPr>
      <w:tblGrid/>
      <w:tr>
        <w:trPr>
          <w:cnfStyle w:firstRow="1"/>
        </w:trPr>
        <w:tc>
          <w:tcPr>
            <w:tcBorders>
              <w:bottom w:val="single"/>
            </w:tcBorders>
            <w:vAlign w:val="bottom"/>
          </w:tcPr>
          <w:p>
            <w:pPr>
              <w:pStyle w:val="Compact"/>
              <w:jc w:val="left"/>
            </w:pPr>
            <w:r>
              <w:t xml:space="preserve">Deliverable</w:t>
            </w:r>
          </w:p>
        </w:tc>
        <w:tc>
          <w:tcPr>
            <w:tcBorders>
              <w:bottom w:val="single"/>
            </w:tcBorders>
            <w:vAlign w:val="bottom"/>
          </w:tcPr>
          <w:p>
            <w:pPr>
              <w:pStyle w:val="Compact"/>
              <w:jc w:val="left"/>
            </w:pPr>
            <w:r>
              <w:t xml:space="preserve">Detail</w:t>
            </w:r>
          </w:p>
        </w:tc>
      </w:tr>
      <w:tr>
        <w:tc>
          <w:p>
            <w:pPr>
              <w:pStyle w:val="Compact"/>
              <w:jc w:val="left"/>
            </w:pPr>
            <w:r>
              <w:t xml:space="preserve">Pipeline dashboard</w:t>
            </w:r>
          </w:p>
        </w:tc>
        <w:tc>
          <w:p>
            <w:pPr>
              <w:pStyle w:val="Compact"/>
              <w:jc w:val="left"/>
            </w:pPr>
            <w:r>
              <w:t xml:space="preserve">Live value and tonnage by stage, owner, segment and expected close month</w:t>
            </w:r>
          </w:p>
        </w:tc>
      </w:tr>
      <w:tr>
        <w:tc>
          <w:p>
            <w:pPr>
              <w:pStyle w:val="Compact"/>
              <w:jc w:val="left"/>
            </w:pPr>
            <w:r>
              <w:t xml:space="preserve">Quotation templates</w:t>
            </w:r>
          </w:p>
        </w:tc>
        <w:tc>
          <w:p>
            <w:pPr>
              <w:pStyle w:val="Compact"/>
              <w:jc w:val="left"/>
            </w:pPr>
            <w:r>
              <w:t xml:space="preserve">Your letterhead, terms, product catalogue and price extras</w:t>
            </w:r>
          </w:p>
        </w:tc>
      </w:tr>
      <w:tr>
        <w:tc>
          <w:p>
            <w:pPr>
              <w:pStyle w:val="Compact"/>
              <w:jc w:val="left"/>
            </w:pPr>
            <w:r>
              <w:t xml:space="preserve">Follow-up automation</w:t>
            </w:r>
          </w:p>
        </w:tc>
        <w:tc>
          <w:p>
            <w:pPr>
              <w:pStyle w:val="Compact"/>
              <w:jc w:val="left"/>
            </w:pPr>
            <w:r>
              <w:t xml:space="preserve">Reminders and escalation on ageing opportunities and quotations</w:t>
            </w:r>
          </w:p>
        </w:tc>
      </w:tr>
      <w:tr>
        <w:tc>
          <w:p>
            <w:pPr>
              <w:pStyle w:val="Compact"/>
              <w:jc w:val="left"/>
            </w:pPr>
            <w:r>
              <w:t xml:space="preserve">Win/loss report</w:t>
            </w:r>
          </w:p>
        </w:tc>
        <w:tc>
          <w:p>
            <w:pPr>
              <w:pStyle w:val="Compact"/>
              <w:jc w:val="left"/>
            </w:pPr>
            <w:r>
              <w:t xml:space="preserve">Conversion by source, segment, salesperson and reason for loss</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المُخرَج</w:t>
            </w:r>
          </w:p>
        </w:tc>
        <w:tc>
          <w:tcPr>
            <w:tcBorders>
              <w:bottom w:val="single"/>
            </w:tcBorders>
            <w:vAlign w:val="bottom"/>
          </w:tcPr>
          <w:p>
            <w:pPr>
              <w:pStyle w:val="Compact"/>
              <w:jc w:val="left"/>
            </w:pPr>
            <w:r>
              <w:t xml:space="preserve">التفصيل</w:t>
            </w:r>
          </w:p>
        </w:tc>
      </w:tr>
      <w:tr>
        <w:tc>
          <w:p>
            <w:pPr>
              <w:pStyle w:val="Compact"/>
              <w:jc w:val="left"/>
            </w:pPr>
            <w:r>
              <w:t xml:space="preserve">لوحة مسار المبيعات</w:t>
            </w:r>
          </w:p>
        </w:tc>
        <w:tc>
          <w:p>
            <w:pPr>
              <w:pStyle w:val="Compact"/>
              <w:jc w:val="left"/>
            </w:pPr>
            <w:r>
              <w:t xml:space="preserve">القيمة والأطنان الحيّة حسب المرحلة والمسؤول والقطاع وشهر الإغلاق المتوقع</w:t>
            </w:r>
          </w:p>
        </w:tc>
      </w:tr>
      <w:tr>
        <w:tc>
          <w:p>
            <w:pPr>
              <w:pStyle w:val="Compact"/>
              <w:jc w:val="left"/>
            </w:pPr>
            <w:r>
              <w:t xml:space="preserve">قوالب عروض الأسعار</w:t>
            </w:r>
          </w:p>
        </w:tc>
        <w:tc>
          <w:p>
            <w:pPr>
              <w:pStyle w:val="Compact"/>
              <w:jc w:val="left"/>
            </w:pPr>
            <w:r>
              <w:t xml:space="preserve">ترويسة شركتكم وشروطكم وكتالوج المنتجات وفروقات الأسعار</w:t>
            </w:r>
          </w:p>
        </w:tc>
      </w:tr>
      <w:tr>
        <w:tc>
          <w:p>
            <w:pPr>
              <w:pStyle w:val="Compact"/>
              <w:jc w:val="left"/>
            </w:pPr>
            <w:r>
              <w:t xml:space="preserve">أتمتة المتابعة</w:t>
            </w:r>
          </w:p>
        </w:tc>
        <w:tc>
          <w:p>
            <w:pPr>
              <w:pStyle w:val="Compact"/>
              <w:jc w:val="left"/>
            </w:pPr>
            <w:r>
              <w:t xml:space="preserve">تذكيرات وتصعيد على الفرص وعروض الأسعار المتقادمة</w:t>
            </w:r>
          </w:p>
        </w:tc>
      </w:tr>
      <w:tr>
        <w:tc>
          <w:p>
            <w:pPr>
              <w:pStyle w:val="Compact"/>
              <w:jc w:val="left"/>
            </w:pPr>
            <w:r>
              <w:t xml:space="preserve">تقرير الكسب والخسارة</w:t>
            </w:r>
          </w:p>
        </w:tc>
        <w:tc>
          <w:p>
            <w:pPr>
              <w:pStyle w:val="Compact"/>
              <w:jc w:val="left"/>
            </w:pPr>
            <w:r>
              <w:t xml:space="preserve">معدل التحويل حسب المصدر والقطاع والمندوب وسبب الخسارة</w:t>
            </w:r>
          </w:p>
        </w:tc>
      </w:tr>
    </w:tbl>
    <w:p>
      <w:pPr>
        <w:pStyle w:val="BodyText"/>
      </w:pPr>
      <w:r>
        <w:rPr>
          <w:b/>
        </w:rPr>
        <w:t xml:space="preserve">Tonnes</w:t>
      </w:r>
      <w:r>
        <w:t xml:space="preserve"> </w:t>
      </w:r>
      <w:r>
        <w:t xml:space="preserve">Forecast, not only value ·</w:t>
      </w:r>
      <w:r>
        <w:t xml:space="preserve"> </w:t>
      </w:r>
      <w:r>
        <w:rPr>
          <w:b/>
        </w:rPr>
        <w:t xml:space="preserve">100%</w:t>
      </w:r>
      <w:r>
        <w:t xml:space="preserve"> </w:t>
      </w:r>
      <w:r>
        <w:t xml:space="preserve">Enquiries with a source ·</w:t>
      </w:r>
      <w:r>
        <w:t xml:space="preserve"> </w:t>
      </w:r>
      <w:r>
        <w:rPr>
          <w:b/>
        </w:rPr>
        <w:t xml:space="preserve">1 click</w:t>
      </w:r>
      <w:r>
        <w:t xml:space="preserve"> </w:t>
      </w:r>
      <w:r>
        <w:t xml:space="preserve">Quotation to sales order ·</w:t>
      </w:r>
      <w:r>
        <w:t xml:space="preserve"> </w:t>
      </w:r>
      <w:r>
        <w:rPr>
          <w:b/>
        </w:rPr>
        <w:t xml:space="preserve">0</w:t>
      </w:r>
      <w:r>
        <w:t xml:space="preserve"> </w:t>
      </w:r>
      <w:r>
        <w:t xml:space="preserve">Deals without a next action</w:t>
      </w:r>
    </w:p>
    <w:p>
      <w:pPr>
        <w:pStyle w:val="BodyText"/>
      </w:pPr>
      <w:r>
        <w:rPr>
          <w:b/>
        </w:rPr>
        <w:t xml:space="preserve">أطنان</w:t>
      </w:r>
      <w:r>
        <w:t xml:space="preserve"> </w:t>
      </w:r>
      <w:r>
        <w:t xml:space="preserve">توقّع لا قيمة فقط ·</w:t>
      </w:r>
      <w:r>
        <w:t xml:space="preserve"> </w:t>
      </w:r>
      <w:r>
        <w:rPr>
          <w:b/>
        </w:rPr>
        <w:t xml:space="preserve">100%</w:t>
      </w:r>
      <w:r>
        <w:t xml:space="preserve"> </w:t>
      </w:r>
      <w:r>
        <w:t xml:space="preserve">استفسارات بمصدر معروف ·</w:t>
      </w:r>
      <w:r>
        <w:t xml:space="preserve"> </w:t>
      </w:r>
      <w:r>
        <w:rPr>
          <w:b/>
        </w:rPr>
        <w:t xml:space="preserve">نقرة</w:t>
      </w:r>
      <w:r>
        <w:t xml:space="preserve"> </w:t>
      </w:r>
      <w:r>
        <w:t xml:space="preserve">من العرض إلى الأمر ·</w:t>
      </w:r>
      <w:r>
        <w:t xml:space="preserve"> </w:t>
      </w:r>
      <w:r>
        <w:rPr>
          <w:b/>
        </w:rPr>
        <w:t xml:space="preserve">صفر</w:t>
      </w:r>
      <w:r>
        <w:t xml:space="preserve"> </w:t>
      </w:r>
      <w:r>
        <w:t xml:space="preserve">صفقات بلا إجراء تالٍ</w:t>
      </w:r>
    </w:p>
    <w:p>
      <w:pPr>
        <w:pStyle w:val="Heading2"/>
      </w:pPr>
      <w:bookmarkStart w:id="48" w:name="module-07-analytics-dashboards"/>
      <w:r>
        <w:t xml:space="preserve">4.7 Module 07 — Analytics &amp; Dashboards</w:t>
      </w:r>
      <w:bookmarkEnd w:id="48"/>
    </w:p>
    <w:p>
      <w:pPr>
        <w:pStyle w:val="FirstParagraph"/>
      </w:pPr>
      <w:r>
        <w:rPr>
          <w:b/>
        </w:rPr>
        <w:t xml:space="preserve">4.7 الوحدة 07 — التحليلات ولوحات المعلومات</w:t>
      </w:r>
    </w:p>
    <w:p>
      <w:pPr>
        <w:pStyle w:val="BodyText"/>
      </w:pPr>
      <w:r>
        <w:rPr>
          <w:b/>
        </w:rPr>
        <w:t xml:space="preserve">Cost per tonne on the first screen, every morning.</w:t>
      </w:r>
      <w:r>
        <w:t xml:space="preserve"> </w:t>
      </w:r>
      <w:r>
        <w:t xml:space="preserve">The point of the whole implementation is that the CFO stops asking for a number and starts reading it. Dashboards are built on live transactions, and every figure is clickable down to the production order, the weighbridge ticket or the invoice that produced it — so a number can be challenged and verified inside the same minute.</w:t>
      </w:r>
    </w:p>
    <w:p>
      <w:pPr>
        <w:pStyle w:val="BodyText"/>
      </w:pPr>
      <w:r>
        <w:rPr>
          <w:b/>
        </w:rPr>
        <w:t xml:space="preserve">تكلفة الطن على أول شاشة كل صباح.</w:t>
      </w:r>
      <w:r>
        <w:t xml:space="preserve"> </w:t>
      </w:r>
      <w:r>
        <w:t xml:space="preserve">الغاية من التنفيذ كله أن يتوقف المدير المالي عن طلب الرقم ويبدأ بقراءته. تُبنى اللوحات على حركات حيّة، وكل رقم قابل للنقر وصولاً إلى أمر التشغيل أو إيصال الميزان أو الفاتورة التي أنتجته — فيُناقَش الرقم ويُتحقَّق منه في الدقيقة نفسها.</w:t>
      </w:r>
    </w:p>
    <w:p>
      <w:pPr>
        <w:pStyle w:val="Heading3"/>
      </w:pPr>
      <w:bookmarkStart w:id="49" w:name="what-it-delivers-6"/>
      <w:r>
        <w:t xml:space="preserve">What it delivers</w:t>
      </w:r>
      <w:bookmarkEnd w:id="49"/>
    </w:p>
    <w:p>
      <w:pPr>
        <w:pStyle w:val="FirstParagraph"/>
      </w:pPr>
      <w:r>
        <w:rPr>
          <w:b/>
        </w:rPr>
        <w:t xml:space="preserve">ما الذي تقدّمه</w:t>
      </w:r>
    </w:p>
    <w:p>
      <w:pPr>
        <w:numPr>
          <w:ilvl w:val="0"/>
          <w:numId w:val="1027"/>
        </w:numPr>
        <w:pStyle w:val="Compact"/>
      </w:pPr>
      <w:r>
        <w:rPr>
          <w:b/>
        </w:rPr>
        <w:t xml:space="preserve">CFO cockpit</w:t>
      </w:r>
      <w:r>
        <w:t xml:space="preserve"> </w:t>
      </w:r>
      <w:r>
        <w:t xml:space="preserve">— Cost per tonne, margin per tonne, yield percentage, recovered scrap value, working capital and receivable ageing on one screen, refreshed from live transactions.</w:t>
      </w:r>
    </w:p>
    <w:p>
      <w:pPr>
        <w:numPr>
          <w:ilvl w:val="0"/>
          <w:numId w:val="1027"/>
        </w:numPr>
        <w:pStyle w:val="Compact"/>
      </w:pPr>
      <w:r>
        <w:rPr>
          <w:b/>
        </w:rPr>
        <w:t xml:space="preserve">Yield and recovery analytics</w:t>
      </w:r>
      <w:r>
        <w:t xml:space="preserve"> </w:t>
      </w:r>
      <w:r>
        <w:t xml:space="preserve">— Weight in against weight out by product, shift, stand and month, with the value of recovered offcuts set against the yield loss it came from.</w:t>
      </w:r>
    </w:p>
    <w:p>
      <w:pPr>
        <w:numPr>
          <w:ilvl w:val="0"/>
          <w:numId w:val="1027"/>
        </w:numPr>
        <w:pStyle w:val="Compact"/>
      </w:pPr>
      <w:r>
        <w:rPr>
          <w:b/>
        </w:rPr>
        <w:t xml:space="preserve">Drill-down to the document</w:t>
      </w:r>
      <w:r>
        <w:t xml:space="preserve"> </w:t>
      </w:r>
      <w:r>
        <w:t xml:space="preserve">— Click a cost per tonne and land on the production orders, material issues and invoices that produced it — no separate reconciliation exercise.</w:t>
      </w:r>
    </w:p>
    <w:p>
      <w:pPr>
        <w:numPr>
          <w:ilvl w:val="0"/>
          <w:numId w:val="1027"/>
        </w:numPr>
        <w:pStyle w:val="Compact"/>
      </w:pPr>
      <w:r>
        <w:rPr>
          <w:b/>
        </w:rPr>
        <w:t xml:space="preserve">Budget against actual by cost centre</w:t>
      </w:r>
      <w:r>
        <w:t xml:space="preserve"> </w:t>
      </w:r>
      <w:r>
        <w:t xml:space="preserve">— Mill, fabrication, yard, maintenance and administration, month and year to date, with committed cost included alongside actual.</w:t>
      </w:r>
    </w:p>
    <w:p>
      <w:pPr>
        <w:numPr>
          <w:ilvl w:val="0"/>
          <w:numId w:val="1027"/>
        </w:numPr>
        <w:pStyle w:val="Compact"/>
      </w:pPr>
      <w:r>
        <w:rPr>
          <w:b/>
        </w:rPr>
        <w:t xml:space="preserve">Scheduled report pack</w:t>
      </w:r>
      <w:r>
        <w:t xml:space="preserve"> </w:t>
      </w:r>
      <w:r>
        <w:t xml:space="preserve">— A daily production and cost sheet and a monthly management pack emailed automatically to the people who are meant to read them.</w:t>
      </w:r>
    </w:p>
    <w:p>
      <w:pPr>
        <w:numPr>
          <w:ilvl w:val="0"/>
          <w:numId w:val="1027"/>
        </w:numPr>
        <w:pStyle w:val="Compact"/>
      </w:pPr>
      <w:r>
        <w:rPr>
          <w:b/>
        </w:rPr>
        <w:t xml:space="preserve">Mobile view</w:t>
      </w:r>
      <w:r>
        <w:t xml:space="preserve"> </w:t>
      </w:r>
      <w:r>
        <w:t xml:space="preserve">— The handful of numbers the CFO and the general manager need, readable on a phone away from the plant.</w:t>
      </w:r>
    </w:p>
    <w:p>
      <w:pPr>
        <w:numPr>
          <w:ilvl w:val="0"/>
          <w:numId w:val="1028"/>
        </w:numPr>
        <w:pStyle w:val="Compact"/>
      </w:pPr>
      <w:r>
        <w:rPr>
          <w:b/>
        </w:rPr>
        <w:t xml:space="preserve">قمرة قيادة المدير المالي</w:t>
      </w:r>
      <w:r>
        <w:t xml:space="preserve"> </w:t>
      </w:r>
      <w:r>
        <w:t xml:space="preserve">— تكلفة الطن وهامش الطن ونسبة العائد وقيمة الخردة المستردة ورأس المال العامل وتقادم الذمم على شاشة واحدة، محدَّثة من حركات حيّة.</w:t>
      </w:r>
    </w:p>
    <w:p>
      <w:pPr>
        <w:numPr>
          <w:ilvl w:val="0"/>
          <w:numId w:val="1028"/>
        </w:numPr>
        <w:pStyle w:val="Compact"/>
      </w:pPr>
      <w:r>
        <w:rPr>
          <w:b/>
        </w:rPr>
        <w:t xml:space="preserve">تحليلات العائد والاسترداد</w:t>
      </w:r>
      <w:r>
        <w:t xml:space="preserve"> </w:t>
      </w:r>
      <w:r>
        <w:t xml:space="preserve">— الوزن الداخل مقابل الوزن الخارج حسب المنتج والوردية والمدحلة والشهر، مع وضع قيمة القصاصات المستردة مقابل فاقد العائد الذي جاءت منه.</w:t>
      </w:r>
    </w:p>
    <w:p>
      <w:pPr>
        <w:numPr>
          <w:ilvl w:val="0"/>
          <w:numId w:val="1028"/>
        </w:numPr>
        <w:pStyle w:val="Compact"/>
      </w:pPr>
      <w:r>
        <w:rPr>
          <w:b/>
        </w:rPr>
        <w:t xml:space="preserve">التنقل حتى المستند</w:t>
      </w:r>
      <w:r>
        <w:t xml:space="preserve"> </w:t>
      </w:r>
      <w:r>
        <w:t xml:space="preserve">— انقر تكلفة الطن لتصل إلى أوامر التشغيل وصرف المواد والفواتير التي أنتجتها — دون تمرين مطابقة منفصل.</w:t>
      </w:r>
    </w:p>
    <w:p>
      <w:pPr>
        <w:numPr>
          <w:ilvl w:val="0"/>
          <w:numId w:val="1028"/>
        </w:numPr>
        <w:pStyle w:val="Compact"/>
      </w:pPr>
      <w:r>
        <w:rPr>
          <w:b/>
        </w:rPr>
        <w:t xml:space="preserve">الموازنة مقابل الفعلي لكل مركز تكلفة</w:t>
      </w:r>
      <w:r>
        <w:t xml:space="preserve"> </w:t>
      </w:r>
      <w:r>
        <w:t xml:space="preserve">— المصنع والتشكيل والساحة والصيانة والإدارة، شهرياً ومنذ بداية السنة، مع إدراج التكلفة الملتزَم بها بجانب الفعلية.</w:t>
      </w:r>
    </w:p>
    <w:p>
      <w:pPr>
        <w:numPr>
          <w:ilvl w:val="0"/>
          <w:numId w:val="1028"/>
        </w:numPr>
        <w:pStyle w:val="Compact"/>
      </w:pPr>
      <w:r>
        <w:rPr>
          <w:b/>
        </w:rPr>
        <w:t xml:space="preserve">حزمة تقارير مجدولة</w:t>
      </w:r>
      <w:r>
        <w:t xml:space="preserve"> </w:t>
      </w:r>
      <w:r>
        <w:t xml:space="preserve">— كشف إنتاج وتكلفة يومي وحزمة إدارية شهرية تُرسَل بالبريد آلياً إلى من يُفترض أن يقرأها.</w:t>
      </w:r>
    </w:p>
    <w:p>
      <w:pPr>
        <w:numPr>
          <w:ilvl w:val="0"/>
          <w:numId w:val="1028"/>
        </w:numPr>
        <w:pStyle w:val="Compact"/>
      </w:pPr>
      <w:r>
        <w:rPr>
          <w:b/>
        </w:rPr>
        <w:t xml:space="preserve">عرض على الجوال</w:t>
      </w:r>
      <w:r>
        <w:t xml:space="preserve"> </w:t>
      </w:r>
      <w:r>
        <w:t xml:space="preserve">— الأرقام القليلة التي يحتاجها المدير المالي والمدير العام، مقروءة على الهاتف بعيداً عن المصنع.</w:t>
      </w:r>
    </w:p>
    <w:p>
      <w:pPr>
        <w:pStyle w:val="Heading3"/>
      </w:pPr>
      <w:bookmarkStart w:id="50" w:name="how-it-runs-day-to-day-6"/>
      <w:r>
        <w:t xml:space="preserve">How it runs day to day</w:t>
      </w:r>
      <w:bookmarkEnd w:id="50"/>
    </w:p>
    <w:p>
      <w:pPr>
        <w:pStyle w:val="FirstParagraph"/>
      </w:pPr>
      <w:r>
        <w:rPr>
          <w:b/>
        </w:rPr>
        <w:t xml:space="preserve">كيف تعمل يومياً</w:t>
      </w:r>
    </w:p>
    <w:p>
      <w:pPr>
        <w:numPr>
          <w:ilvl w:val="0"/>
          <w:numId w:val="1029"/>
        </w:numPr>
        <w:pStyle w:val="Compact"/>
      </w:pPr>
      <w:r>
        <w:t xml:space="preserve">The management questions defined with the CFO in the discovery workshop and written down</w:t>
      </w:r>
    </w:p>
    <w:p>
      <w:pPr>
        <w:numPr>
          <w:ilvl w:val="0"/>
          <w:numId w:val="1029"/>
        </w:numPr>
        <w:pStyle w:val="Compact"/>
      </w:pPr>
      <w:r>
        <w:t xml:space="preserve">Each KPI mapped to the exact transactions that supply it, and its definition documented</w:t>
      </w:r>
    </w:p>
    <w:p>
      <w:pPr>
        <w:numPr>
          <w:ilvl w:val="0"/>
          <w:numId w:val="1029"/>
        </w:numPr>
        <w:pStyle w:val="Compact"/>
      </w:pPr>
      <w:r>
        <w:t xml:space="preserve">Role dashboards built for finance, production, procurement, sales and the general manager</w:t>
      </w:r>
    </w:p>
    <w:p>
      <w:pPr>
        <w:numPr>
          <w:ilvl w:val="0"/>
          <w:numId w:val="1029"/>
        </w:numPr>
        <w:pStyle w:val="Compact"/>
      </w:pPr>
      <w:r>
        <w:t xml:space="preserve">Access assigned so each role sees the data it owns and nothing it should not</w:t>
      </w:r>
    </w:p>
    <w:p>
      <w:pPr>
        <w:numPr>
          <w:ilvl w:val="0"/>
          <w:numId w:val="1029"/>
        </w:numPr>
        <w:pStyle w:val="Compact"/>
      </w:pPr>
      <w:r>
        <w:t xml:space="preserve">The report pack scheduled for automatic daily and monthly distribution</w:t>
      </w:r>
    </w:p>
    <w:p>
      <w:pPr>
        <w:numPr>
          <w:ilvl w:val="0"/>
          <w:numId w:val="1029"/>
        </w:numPr>
        <w:pStyle w:val="Compact"/>
      </w:pPr>
      <w:r>
        <w:t xml:space="preserve">Reviewed after go-live and tuned to how the team actually works, inside the support period</w:t>
      </w:r>
    </w:p>
    <w:p>
      <w:pPr>
        <w:numPr>
          <w:ilvl w:val="0"/>
          <w:numId w:val="1030"/>
        </w:numPr>
        <w:pStyle w:val="Compact"/>
      </w:pPr>
      <w:r>
        <w:t xml:space="preserve">تحديد الأسئلة الإدارية مع المدير المالي في ورشة التحليل وتوثيقها كتابياً</w:t>
      </w:r>
    </w:p>
    <w:p>
      <w:pPr>
        <w:numPr>
          <w:ilvl w:val="0"/>
          <w:numId w:val="1030"/>
        </w:numPr>
        <w:pStyle w:val="Compact"/>
      </w:pPr>
      <w:r>
        <w:t xml:space="preserve">ربط كل مؤشر بالحركات التي تغذّيه بدقة وتوثيق تعريفه</w:t>
      </w:r>
    </w:p>
    <w:p>
      <w:pPr>
        <w:numPr>
          <w:ilvl w:val="0"/>
          <w:numId w:val="1030"/>
        </w:numPr>
        <w:pStyle w:val="Compact"/>
      </w:pPr>
      <w:r>
        <w:t xml:space="preserve">بناء لوحات حسب الأدوار للمالية والإنتاج والمشتريات والمبيعات والمدير العام</w:t>
      </w:r>
    </w:p>
    <w:p>
      <w:pPr>
        <w:numPr>
          <w:ilvl w:val="0"/>
          <w:numId w:val="1030"/>
        </w:numPr>
        <w:pStyle w:val="Compact"/>
      </w:pPr>
      <w:r>
        <w:t xml:space="preserve">إسناد الصلاحيات بحيث يرى كل دور بياناته ولا يرى ما لا يخصّه</w:t>
      </w:r>
    </w:p>
    <w:p>
      <w:pPr>
        <w:numPr>
          <w:ilvl w:val="0"/>
          <w:numId w:val="1030"/>
        </w:numPr>
        <w:pStyle w:val="Compact"/>
      </w:pPr>
      <w:r>
        <w:t xml:space="preserve">جدولة حزمة التقارير للتوزيع اليومي والشهري آلياً</w:t>
      </w:r>
    </w:p>
    <w:p>
      <w:pPr>
        <w:numPr>
          <w:ilvl w:val="0"/>
          <w:numId w:val="1030"/>
        </w:numPr>
        <w:pStyle w:val="Compact"/>
      </w:pPr>
      <w:r>
        <w:t xml:space="preserve">المراجعة بعد التشغيل الفعلي والضبط وفق طريقة عمل الفريق الحقيقية ضمن فترة الدعم</w:t>
      </w:r>
    </w:p>
    <w:p>
      <w:pPr>
        <w:pStyle w:val="Heading3"/>
      </w:pPr>
      <w:bookmarkStart w:id="51" w:name="what-you-receive-6"/>
      <w:r>
        <w:t xml:space="preserve">What you receive</w:t>
      </w:r>
      <w:bookmarkEnd w:id="51"/>
    </w:p>
    <w:p>
      <w:pPr>
        <w:pStyle w:val="FirstParagraph"/>
      </w:pPr>
      <w:r>
        <w:rPr>
          <w:b/>
        </w:rPr>
        <w:t xml:space="preserve">ما الذي تستلمونه</w:t>
      </w:r>
    </w:p>
    <w:tbl>
      <w:tblPr>
        <w:tblStyle w:val="Table"/>
        <w:tblW w:type="pct" w:w="0.0"/>
        <w:tblLook w:firstRow="1"/>
      </w:tblPr>
      <w:tblGrid/>
      <w:tr>
        <w:trPr>
          <w:cnfStyle w:firstRow="1"/>
        </w:trPr>
        <w:tc>
          <w:tcPr>
            <w:tcBorders>
              <w:bottom w:val="single"/>
            </w:tcBorders>
            <w:vAlign w:val="bottom"/>
          </w:tcPr>
          <w:p>
            <w:pPr>
              <w:pStyle w:val="Compact"/>
              <w:jc w:val="left"/>
            </w:pPr>
            <w:r>
              <w:t xml:space="preserve">Deliverable</w:t>
            </w:r>
          </w:p>
        </w:tc>
        <w:tc>
          <w:tcPr>
            <w:tcBorders>
              <w:bottom w:val="single"/>
            </w:tcBorders>
            <w:vAlign w:val="bottom"/>
          </w:tcPr>
          <w:p>
            <w:pPr>
              <w:pStyle w:val="Compact"/>
              <w:jc w:val="left"/>
            </w:pPr>
            <w:r>
              <w:t xml:space="preserve">Detail</w:t>
            </w:r>
          </w:p>
        </w:tc>
      </w:tr>
      <w:tr>
        <w:tc>
          <w:p>
            <w:pPr>
              <w:pStyle w:val="Compact"/>
              <w:jc w:val="left"/>
            </w:pPr>
            <w:r>
              <w:t xml:space="preserve">CFO cockpit</w:t>
            </w:r>
          </w:p>
        </w:tc>
        <w:tc>
          <w:p>
            <w:pPr>
              <w:pStyle w:val="Compact"/>
              <w:jc w:val="left"/>
            </w:pPr>
            <w:r>
              <w:t xml:space="preserve">The leadership dashboard: cost, margin, yield, recovery, cash and receivables</w:t>
            </w:r>
          </w:p>
        </w:tc>
      </w:tr>
      <w:tr>
        <w:tc>
          <w:p>
            <w:pPr>
              <w:pStyle w:val="Compact"/>
              <w:jc w:val="left"/>
            </w:pPr>
            <w:r>
              <w:t xml:space="preserve">Operational dashboards</w:t>
            </w:r>
          </w:p>
        </w:tc>
        <w:tc>
          <w:p>
            <w:pPr>
              <w:pStyle w:val="Compact"/>
              <w:jc w:val="left"/>
            </w:pPr>
            <w:r>
              <w:t xml:space="preserve">Production, yard, procurement and sales views for the people running them</w:t>
            </w:r>
          </w:p>
        </w:tc>
      </w:tr>
      <w:tr>
        <w:tc>
          <w:p>
            <w:pPr>
              <w:pStyle w:val="Compact"/>
              <w:jc w:val="left"/>
            </w:pPr>
            <w:r>
              <w:t xml:space="preserve">Report pack</w:t>
            </w:r>
          </w:p>
        </w:tc>
        <w:tc>
          <w:p>
            <w:pPr>
              <w:pStyle w:val="Compact"/>
              <w:jc w:val="left"/>
            </w:pPr>
            <w:r>
              <w:t xml:space="preserve">Daily production and cost sheet, monthly management pack, distributed automatically</w:t>
            </w:r>
          </w:p>
        </w:tc>
      </w:tr>
      <w:tr>
        <w:tc>
          <w:p>
            <w:pPr>
              <w:pStyle w:val="Compact"/>
              <w:jc w:val="left"/>
            </w:pPr>
            <w:r>
              <w:t xml:space="preserve">KPI definitions</w:t>
            </w:r>
          </w:p>
        </w:tc>
        <w:tc>
          <w:p>
            <w:pPr>
              <w:pStyle w:val="Compact"/>
              <w:jc w:val="left"/>
            </w:pPr>
            <w:r>
              <w:t xml:space="preserve">Documented so that cost per tonne means exactly one thing across the company</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المُخرَج</w:t>
            </w:r>
          </w:p>
        </w:tc>
        <w:tc>
          <w:tcPr>
            <w:tcBorders>
              <w:bottom w:val="single"/>
            </w:tcBorders>
            <w:vAlign w:val="bottom"/>
          </w:tcPr>
          <w:p>
            <w:pPr>
              <w:pStyle w:val="Compact"/>
              <w:jc w:val="left"/>
            </w:pPr>
            <w:r>
              <w:t xml:space="preserve">التفصيل</w:t>
            </w:r>
          </w:p>
        </w:tc>
      </w:tr>
      <w:tr>
        <w:tc>
          <w:p>
            <w:pPr>
              <w:pStyle w:val="Compact"/>
              <w:jc w:val="left"/>
            </w:pPr>
            <w:r>
              <w:t xml:space="preserve">قمرة المدير المالي</w:t>
            </w:r>
          </w:p>
        </w:tc>
        <w:tc>
          <w:p>
            <w:pPr>
              <w:pStyle w:val="Compact"/>
              <w:jc w:val="left"/>
            </w:pPr>
            <w:r>
              <w:t xml:space="preserve">لوحة الإدارة: التكلفة والهامش والعائد والاسترداد والنقد والذمم</w:t>
            </w:r>
          </w:p>
        </w:tc>
      </w:tr>
      <w:tr>
        <w:tc>
          <w:p>
            <w:pPr>
              <w:pStyle w:val="Compact"/>
              <w:jc w:val="left"/>
            </w:pPr>
            <w:r>
              <w:t xml:space="preserve">لوحات تشغيلية</w:t>
            </w:r>
          </w:p>
        </w:tc>
        <w:tc>
          <w:p>
            <w:pPr>
              <w:pStyle w:val="Compact"/>
              <w:jc w:val="left"/>
            </w:pPr>
            <w:r>
              <w:t xml:space="preserve">شاشات الإنتاج والساحة والمشتريات والمبيعات لمن يديرونها</w:t>
            </w:r>
          </w:p>
        </w:tc>
      </w:tr>
      <w:tr>
        <w:tc>
          <w:p>
            <w:pPr>
              <w:pStyle w:val="Compact"/>
              <w:jc w:val="left"/>
            </w:pPr>
            <w:r>
              <w:t xml:space="preserve">حزمة التقارير</w:t>
            </w:r>
          </w:p>
        </w:tc>
        <w:tc>
          <w:p>
            <w:pPr>
              <w:pStyle w:val="Compact"/>
              <w:jc w:val="left"/>
            </w:pPr>
            <w:r>
              <w:t xml:space="preserve">كشف إنتاج وتكلفة يومي وحزمة إدارية شهرية تُوزَّع آلياً</w:t>
            </w:r>
          </w:p>
        </w:tc>
      </w:tr>
      <w:tr>
        <w:tc>
          <w:p>
            <w:pPr>
              <w:pStyle w:val="Compact"/>
              <w:jc w:val="left"/>
            </w:pPr>
            <w:r>
              <w:t xml:space="preserve">تعريفات المؤشرات</w:t>
            </w:r>
          </w:p>
        </w:tc>
        <w:tc>
          <w:p>
            <w:pPr>
              <w:pStyle w:val="Compact"/>
              <w:jc w:val="left"/>
            </w:pPr>
            <w:r>
              <w:t xml:space="preserve">موثّقة بحيث تعني تكلفة الطن شيئاً واحداً بالضبط على مستوى الشركة</w:t>
            </w:r>
          </w:p>
        </w:tc>
      </w:tr>
    </w:tbl>
    <w:p>
      <w:pPr>
        <w:pStyle w:val="BodyText"/>
      </w:pPr>
      <w:r>
        <w:rPr>
          <w:b/>
        </w:rPr>
        <w:t xml:space="preserve">Daily</w:t>
      </w:r>
      <w:r>
        <w:t xml:space="preserve"> </w:t>
      </w:r>
      <w:r>
        <w:t xml:space="preserve">Cost per tonne ·</w:t>
      </w:r>
      <w:r>
        <w:t xml:space="preserve"> </w:t>
      </w:r>
      <w:r>
        <w:rPr>
          <w:b/>
        </w:rPr>
        <w:t xml:space="preserve">Live</w:t>
      </w:r>
      <w:r>
        <w:t xml:space="preserve"> </w:t>
      </w:r>
      <w:r>
        <w:t xml:space="preserve">No manual refresh ·</w:t>
      </w:r>
      <w:r>
        <w:t xml:space="preserve"> </w:t>
      </w:r>
      <w:r>
        <w:rPr>
          <w:b/>
        </w:rPr>
        <w:t xml:space="preserve">Clickable</w:t>
      </w:r>
      <w:r>
        <w:t xml:space="preserve"> </w:t>
      </w:r>
      <w:r>
        <w:t xml:space="preserve">Down to the document ·</w:t>
      </w:r>
      <w:r>
        <w:t xml:space="preserve"> </w:t>
      </w:r>
      <w:r>
        <w:rPr>
          <w:b/>
        </w:rPr>
        <w:t xml:space="preserve">Scheduled</w:t>
      </w:r>
      <w:r>
        <w:t xml:space="preserve"> </w:t>
      </w:r>
      <w:r>
        <w:t xml:space="preserve">Automatic distribution</w:t>
      </w:r>
    </w:p>
    <w:p>
      <w:pPr>
        <w:pStyle w:val="BodyText"/>
      </w:pPr>
      <w:r>
        <w:rPr>
          <w:b/>
        </w:rPr>
        <w:t xml:space="preserve">يومي</w:t>
      </w:r>
      <w:r>
        <w:t xml:space="preserve"> </w:t>
      </w:r>
      <w:r>
        <w:t xml:space="preserve">تكلفة الطن ·</w:t>
      </w:r>
      <w:r>
        <w:t xml:space="preserve"> </w:t>
      </w:r>
      <w:r>
        <w:rPr>
          <w:b/>
        </w:rPr>
        <w:t xml:space="preserve">حيّ</w:t>
      </w:r>
      <w:r>
        <w:t xml:space="preserve"> </w:t>
      </w:r>
      <w:r>
        <w:t xml:space="preserve">بلا تحديث يدوي ·</w:t>
      </w:r>
      <w:r>
        <w:t xml:space="preserve"> </w:t>
      </w:r>
      <w:r>
        <w:rPr>
          <w:b/>
        </w:rPr>
        <w:t xml:space="preserve">قابل للنقر</w:t>
      </w:r>
      <w:r>
        <w:t xml:space="preserve"> </w:t>
      </w:r>
      <w:r>
        <w:t xml:space="preserve">وصولاً إلى المستند ·</w:t>
      </w:r>
      <w:r>
        <w:t xml:space="preserve"> </w:t>
      </w:r>
      <w:r>
        <w:rPr>
          <w:b/>
        </w:rPr>
        <w:t xml:space="preserve">مجدول</w:t>
      </w:r>
      <w:r>
        <w:t xml:space="preserve"> </w:t>
      </w:r>
      <w:r>
        <w:t xml:space="preserve">توزيع آلي</w:t>
      </w:r>
    </w:p>
    <w:p>
      <w:pPr>
        <w:pStyle w:val="Heading2"/>
      </w:pPr>
      <w:bookmarkStart w:id="52" w:name="implementation-methodology"/>
      <w:r>
        <w:t xml:space="preserve">5. Implementation methodology</w:t>
      </w:r>
      <w:bookmarkEnd w:id="52"/>
    </w:p>
    <w:p>
      <w:pPr>
        <w:pStyle w:val="FirstParagraph"/>
      </w:pPr>
      <w:r>
        <w:rPr>
          <w:b/>
        </w:rPr>
        <w:t xml:space="preserve">5. منهجية التنفيذ</w:t>
      </w:r>
    </w:p>
    <w:p>
      <w:pPr>
        <w:pStyle w:val="BodyText"/>
      </w:pPr>
      <w:r>
        <w:t xml:space="preserve">Approximately 12–16 weeks from kick-off to go-live. Each phase closes with a written acceptance note; if no written objection is raised within five working days of a deliverable being submitted, it is deemed accepted.</w:t>
      </w:r>
    </w:p>
    <w:p>
      <w:pPr>
        <w:pStyle w:val="BodyText"/>
      </w:pPr>
      <w:r>
        <w:t xml:space="preserve">نحو 12–16 أسبوعاً من الانطلاق حتى التشغيل الفعلي. تُختتم كل مرحلة بمحضر قبول مكتوب، وإذا لم يُقدَّم اعتراض خطي خلال خمسة أيام عمل من تسليم أي مُخرَج، يُعدّ مقبولاً.</w:t>
      </w:r>
    </w:p>
    <w:tbl>
      <w:tblPr>
        <w:tblStyle w:val="Table"/>
        <w:tblW w:type="pct" w:w="0.0"/>
        <w:tblLook w:firstRow="1"/>
      </w:tblPr>
      <w:tblGrid/>
      <w:tr>
        <w:trPr>
          <w:cnfStyle w:firstRow="1"/>
        </w:trPr>
        <w:tc>
          <w:tcPr>
            <w:tcBorders>
              <w:bottom w:val="single"/>
            </w:tcBorders>
            <w:vAlign w:val="bottom"/>
          </w:tcPr>
          <w:p>
            <w:pPr>
              <w:pStyle w:val="Compact"/>
              <w:jc w:val="left"/>
            </w:pPr>
            <w:r>
              <w:t xml:space="preserve">Phase</w:t>
            </w:r>
          </w:p>
        </w:tc>
        <w:tc>
          <w:tcPr>
            <w:tcBorders>
              <w:bottom w:val="single"/>
            </w:tcBorders>
            <w:vAlign w:val="bottom"/>
          </w:tcPr>
          <w:p>
            <w:pPr>
              <w:pStyle w:val="Compact"/>
              <w:jc w:val="left"/>
            </w:pPr>
            <w:r>
              <w:t xml:space="preserve">Key deliverables</w:t>
            </w:r>
          </w:p>
        </w:tc>
        <w:tc>
          <w:tcPr>
            <w:tcBorders>
              <w:bottom w:val="single"/>
            </w:tcBorders>
            <w:vAlign w:val="bottom"/>
          </w:tcPr>
          <w:p>
            <w:pPr>
              <w:pStyle w:val="Compact"/>
              <w:jc w:val="left"/>
            </w:pPr>
            <w:r>
              <w:t xml:space="preserve">Timing</w:t>
            </w:r>
          </w:p>
        </w:tc>
      </w:tr>
      <w:tr>
        <w:tc>
          <w:p>
            <w:pPr>
              <w:pStyle w:val="Compact"/>
              <w:jc w:val="left"/>
            </w:pPr>
            <w:r>
              <w:t xml:space="preserve">Phase 1 · Discovery &amp; cost model</w:t>
            </w:r>
          </w:p>
        </w:tc>
        <w:tc>
          <w:p>
            <w:pPr>
              <w:pStyle w:val="Compact"/>
              <w:jc w:val="left"/>
            </w:pPr>
            <w:r>
              <w:t xml:space="preserve">Process mapping across mill, fabrication and yard; agreement of the costing model, the cost centres and the definition of cost per tonne; written solution design document</w:t>
            </w:r>
          </w:p>
        </w:tc>
        <w:tc>
          <w:p>
            <w:pPr>
              <w:pStyle w:val="Compact"/>
              <w:jc w:val="left"/>
            </w:pPr>
            <w:r>
              <w:t xml:space="preserve">Week 1–3</w:t>
            </w:r>
          </w:p>
        </w:tc>
      </w:tr>
      <w:tr>
        <w:tc>
          <w:p>
            <w:pPr>
              <w:pStyle w:val="Compact"/>
              <w:jc w:val="left"/>
            </w:pPr>
            <w:r>
              <w:t xml:space="preserve">Phase 2 · Configuration</w:t>
            </w:r>
          </w:p>
        </w:tc>
        <w:tc>
          <w:p>
            <w:pPr>
              <w:pStyle w:val="Compact"/>
              <w:jc w:val="left"/>
            </w:pPr>
            <w:r>
              <w:t xml:space="preserve">System setup, chart of accounts, cost centres, product and grade master, bills of material, work centre rates, security roles and approval matrix</w:t>
            </w:r>
          </w:p>
        </w:tc>
        <w:tc>
          <w:p>
            <w:pPr>
              <w:pStyle w:val="Compact"/>
              <w:jc w:val="left"/>
            </w:pPr>
            <w:r>
              <w:t xml:space="preserve">Week 3–7</w:t>
            </w:r>
          </w:p>
        </w:tc>
      </w:tr>
      <w:tr>
        <w:tc>
          <w:p>
            <w:pPr>
              <w:pStyle w:val="Compact"/>
              <w:jc w:val="left"/>
            </w:pPr>
            <w:r>
              <w:t xml:space="preserve">Phase 3 · Development</w:t>
            </w:r>
          </w:p>
        </w:tc>
        <w:tc>
          <w:p>
            <w:pPr>
              <w:pStyle w:val="Compact"/>
              <w:jc w:val="left"/>
            </w:pPr>
            <w:r>
              <w:t xml:space="preserve">Shop-floor terminal, weighbridge and tagging workflow, mill certificate and delivery documents, cost per tonne and yield reporting, CFO cockpit</w:t>
            </w:r>
          </w:p>
        </w:tc>
        <w:tc>
          <w:p>
            <w:pPr>
              <w:pStyle w:val="Compact"/>
              <w:jc w:val="left"/>
            </w:pPr>
            <w:r>
              <w:t xml:space="preserve">Week 6–10</w:t>
            </w:r>
          </w:p>
        </w:tc>
      </w:tr>
      <w:tr>
        <w:tc>
          <w:p>
            <w:pPr>
              <w:pStyle w:val="Compact"/>
              <w:jc w:val="left"/>
            </w:pPr>
            <w:r>
              <w:t xml:space="preserve">Phase 4 · Migration &amp; UAT</w:t>
            </w:r>
          </w:p>
        </w:tc>
        <w:tc>
          <w:p>
            <w:pPr>
              <w:pStyle w:val="Compact"/>
              <w:jc w:val="left"/>
            </w:pPr>
            <w:r>
              <w:t xml:space="preserve">Master data and opening balances migrated and reconciled; user acceptance testing on your own orders and heats; corrections and re-test</w:t>
            </w:r>
          </w:p>
        </w:tc>
        <w:tc>
          <w:p>
            <w:pPr>
              <w:pStyle w:val="Compact"/>
              <w:jc w:val="left"/>
            </w:pPr>
            <w:r>
              <w:t xml:space="preserve">Week 9–13</w:t>
            </w:r>
          </w:p>
        </w:tc>
      </w:tr>
      <w:tr>
        <w:tc>
          <w:p>
            <w:pPr>
              <w:pStyle w:val="Compact"/>
              <w:jc w:val="left"/>
            </w:pPr>
            <w:r>
              <w:t xml:space="preserve">Phase 5 · Training</w:t>
            </w:r>
          </w:p>
        </w:tc>
        <w:tc>
          <w:p>
            <w:pPr>
              <w:pStyle w:val="Compact"/>
              <w:jc w:val="left"/>
            </w:pPr>
            <w:r>
              <w:t xml:space="preserve">Role-based training for finance, production, yard, procurement and sales, with written user manuals in Arabic and English</w:t>
            </w:r>
          </w:p>
        </w:tc>
        <w:tc>
          <w:p>
            <w:pPr>
              <w:pStyle w:val="Compact"/>
              <w:jc w:val="left"/>
            </w:pPr>
            <w:r>
              <w:t xml:space="preserve">Week 12–14</w:t>
            </w:r>
          </w:p>
        </w:tc>
      </w:tr>
      <w:tr>
        <w:tc>
          <w:p>
            <w:pPr>
              <w:pStyle w:val="Compact"/>
              <w:jc w:val="left"/>
            </w:pPr>
            <w:r>
              <w:t xml:space="preserve">Phase 6 · Go-live &amp; hyper-care</w:t>
            </w:r>
          </w:p>
        </w:tc>
        <w:tc>
          <w:p>
            <w:pPr>
              <w:pStyle w:val="Compact"/>
              <w:jc w:val="left"/>
            </w:pPr>
            <w:r>
              <w:t xml:space="preserve">Cut-over, go-live and thirty days of intensive on-site and remote support with daily review</w:t>
            </w:r>
          </w:p>
        </w:tc>
        <w:tc>
          <w:p>
            <w:pPr>
              <w:pStyle w:val="Compact"/>
              <w:jc w:val="left"/>
            </w:pPr>
            <w:r>
              <w:t xml:space="preserve">Week 14–16</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المرحلة</w:t>
            </w:r>
          </w:p>
        </w:tc>
        <w:tc>
          <w:tcPr>
            <w:tcBorders>
              <w:bottom w:val="single"/>
            </w:tcBorders>
            <w:vAlign w:val="bottom"/>
          </w:tcPr>
          <w:p>
            <w:pPr>
              <w:pStyle w:val="Compact"/>
              <w:jc w:val="left"/>
            </w:pPr>
            <w:r>
              <w:t xml:space="preserve">أبرز المُخرَجات</w:t>
            </w:r>
          </w:p>
        </w:tc>
        <w:tc>
          <w:tcPr>
            <w:tcBorders>
              <w:bottom w:val="single"/>
            </w:tcBorders>
            <w:vAlign w:val="bottom"/>
          </w:tcPr>
          <w:p>
            <w:pPr>
              <w:pStyle w:val="Compact"/>
              <w:jc w:val="left"/>
            </w:pPr>
            <w:r>
              <w:t xml:space="preserve">التوقيت</w:t>
            </w:r>
          </w:p>
        </w:tc>
      </w:tr>
      <w:tr>
        <w:tc>
          <w:p>
            <w:pPr>
              <w:pStyle w:val="Compact"/>
              <w:jc w:val="left"/>
            </w:pPr>
            <w:r>
              <w:t xml:space="preserve">المرحلة 1 · التحليل ونموذج التكلفة</w:t>
            </w:r>
          </w:p>
        </w:tc>
        <w:tc>
          <w:p>
            <w:pPr>
              <w:pStyle w:val="Compact"/>
              <w:jc w:val="left"/>
            </w:pPr>
            <w:r>
              <w:t xml:space="preserve">توصيف العمليات في المصنع والتشكيل والساحة، والاتفاق على نموذج التكلفة ومراكز التكلفة وتعريف تكلفة الطن، ووثيقة تصميم الحل</w:t>
            </w:r>
          </w:p>
        </w:tc>
        <w:tc>
          <w:p>
            <w:pPr>
              <w:pStyle w:val="Compact"/>
              <w:jc w:val="left"/>
            </w:pPr>
            <w:r>
              <w:t xml:space="preserve">الأسبوع 1–3</w:t>
            </w:r>
          </w:p>
        </w:tc>
      </w:tr>
      <w:tr>
        <w:tc>
          <w:p>
            <w:pPr>
              <w:pStyle w:val="Compact"/>
              <w:jc w:val="left"/>
            </w:pPr>
            <w:r>
              <w:t xml:space="preserve">المرحلة 2 · التهيئة</w:t>
            </w:r>
          </w:p>
        </w:tc>
        <w:tc>
          <w:p>
            <w:pPr>
              <w:pStyle w:val="Compact"/>
              <w:jc w:val="left"/>
            </w:pPr>
            <w:r>
              <w:t xml:space="preserve">إعداد النظام وشجرة الحسابات ومراكز التكلفة وبيانات المنتجات والدرجات وقوائم المواد ومعدلات مراكز العمل والصلاحيات ومصفوفة الاعتمادات</w:t>
            </w:r>
          </w:p>
        </w:tc>
        <w:tc>
          <w:p>
            <w:pPr>
              <w:pStyle w:val="Compact"/>
              <w:jc w:val="left"/>
            </w:pPr>
            <w:r>
              <w:t xml:space="preserve">الأسبوع 3–7</w:t>
            </w:r>
          </w:p>
        </w:tc>
      </w:tr>
      <w:tr>
        <w:tc>
          <w:p>
            <w:pPr>
              <w:pStyle w:val="Compact"/>
              <w:jc w:val="left"/>
            </w:pPr>
            <w:r>
              <w:t xml:space="preserve">المرحلة 3 · التطوير</w:t>
            </w:r>
          </w:p>
        </w:tc>
        <w:tc>
          <w:p>
            <w:pPr>
              <w:pStyle w:val="Compact"/>
              <w:jc w:val="left"/>
            </w:pPr>
            <w:r>
              <w:t xml:space="preserve">طرفية أرض المصنع ومسار الميزان والبطاقات وشهادات المصنع ومستندات التسليم وتقارير تكلفة الطن والعائد وقمرة المدير المالي</w:t>
            </w:r>
          </w:p>
        </w:tc>
        <w:tc>
          <w:p>
            <w:pPr>
              <w:pStyle w:val="Compact"/>
              <w:jc w:val="left"/>
            </w:pPr>
            <w:r>
              <w:t xml:space="preserve">الأسبوع 6–10</w:t>
            </w:r>
          </w:p>
        </w:tc>
      </w:tr>
      <w:tr>
        <w:tc>
          <w:p>
            <w:pPr>
              <w:pStyle w:val="Compact"/>
              <w:jc w:val="left"/>
            </w:pPr>
            <w:r>
              <w:t xml:space="preserve">المرحلة 4 · الترحيل واختبار القبول</w:t>
            </w:r>
          </w:p>
        </w:tc>
        <w:tc>
          <w:p>
            <w:pPr>
              <w:pStyle w:val="Compact"/>
              <w:jc w:val="left"/>
            </w:pPr>
            <w:r>
              <w:t xml:space="preserve">ترحيل البيانات الأساسية والأرصدة الافتتاحية ومطابقتها، واختبار القبول على أوامركم وصبّاتكم الحقيقية، والتصحيح وإعادة الاختبار</w:t>
            </w:r>
          </w:p>
        </w:tc>
        <w:tc>
          <w:p>
            <w:pPr>
              <w:pStyle w:val="Compact"/>
              <w:jc w:val="left"/>
            </w:pPr>
            <w:r>
              <w:t xml:space="preserve">الأسبوع 9–13</w:t>
            </w:r>
          </w:p>
        </w:tc>
      </w:tr>
      <w:tr>
        <w:tc>
          <w:p>
            <w:pPr>
              <w:pStyle w:val="Compact"/>
              <w:jc w:val="left"/>
            </w:pPr>
            <w:r>
              <w:t xml:space="preserve">المرحلة 5 · التدريب</w:t>
            </w:r>
          </w:p>
        </w:tc>
        <w:tc>
          <w:p>
            <w:pPr>
              <w:pStyle w:val="Compact"/>
              <w:jc w:val="left"/>
            </w:pPr>
            <w:r>
              <w:t xml:space="preserve">تدريب حسب الأدوار للمالية والإنتاج والساحة والمشتريات والمبيعات مع أدلة مستخدم مكتوبة بالعربية والإنجليزية</w:t>
            </w:r>
          </w:p>
        </w:tc>
        <w:tc>
          <w:p>
            <w:pPr>
              <w:pStyle w:val="Compact"/>
              <w:jc w:val="left"/>
            </w:pPr>
            <w:r>
              <w:t xml:space="preserve">الأسبوع 12–14</w:t>
            </w:r>
          </w:p>
        </w:tc>
      </w:tr>
      <w:tr>
        <w:tc>
          <w:p>
            <w:pPr>
              <w:pStyle w:val="Compact"/>
              <w:jc w:val="left"/>
            </w:pPr>
            <w:r>
              <w:t xml:space="preserve">المرحلة 6 · التشغيل الفعلي والدعم المكثف</w:t>
            </w:r>
          </w:p>
        </w:tc>
        <w:tc>
          <w:p>
            <w:pPr>
              <w:pStyle w:val="Compact"/>
              <w:jc w:val="left"/>
            </w:pPr>
            <w:r>
              <w:t xml:space="preserve">التحول والتشغيل الفعلي وثلاثون يوماً من الدعم المكثف في الموقع وعن بُعد بمراجعة يومية</w:t>
            </w:r>
          </w:p>
        </w:tc>
        <w:tc>
          <w:p>
            <w:pPr>
              <w:pStyle w:val="Compact"/>
              <w:jc w:val="left"/>
            </w:pPr>
            <w:r>
              <w:t xml:space="preserve">الأسبوع 14–16</w:t>
            </w:r>
          </w:p>
        </w:tc>
      </w:tr>
    </w:tbl>
    <w:p>
      <w:pPr>
        <w:pStyle w:val="Heading3"/>
      </w:pPr>
      <w:bookmarkStart w:id="53" w:name="what-we-need-from-you"/>
      <w:r>
        <w:t xml:space="preserve">What we need from you</w:t>
      </w:r>
      <w:bookmarkEnd w:id="53"/>
    </w:p>
    <w:p>
      <w:pPr>
        <w:pStyle w:val="FirstParagraph"/>
      </w:pPr>
      <w:r>
        <w:rPr>
          <w:b/>
        </w:rPr>
        <w:t xml:space="preserve">ما نحتاجه منكم</w:t>
      </w:r>
    </w:p>
    <w:p>
      <w:pPr>
        <w:numPr>
          <w:ilvl w:val="0"/>
          <w:numId w:val="1031"/>
        </w:numPr>
        <w:pStyle w:val="Compact"/>
      </w:pPr>
      <w:r>
        <w:t xml:space="preserve">A single project owner empowered to take decisions — we recommend it sits with finance.</w:t>
      </w:r>
    </w:p>
    <w:p>
      <w:pPr>
        <w:numPr>
          <w:ilvl w:val="0"/>
          <w:numId w:val="1031"/>
        </w:numPr>
        <w:pStyle w:val="Compact"/>
      </w:pPr>
      <w:r>
        <w:t xml:space="preserve">Key users from the mill, fabrication shop, yard, procurement, sales and accounts available for workshops, testing and training.</w:t>
      </w:r>
    </w:p>
    <w:p>
      <w:pPr>
        <w:numPr>
          <w:ilvl w:val="0"/>
          <w:numId w:val="1031"/>
        </w:numPr>
        <w:pStyle w:val="Compact"/>
      </w:pPr>
      <w:r>
        <w:t xml:space="preserve">Legacy data — customers, suppliers, products, grades, stock and balances — in a readable electronic format.</w:t>
      </w:r>
    </w:p>
    <w:p>
      <w:pPr>
        <w:numPr>
          <w:ilvl w:val="0"/>
          <w:numId w:val="1031"/>
        </w:numPr>
        <w:pStyle w:val="Compact"/>
      </w:pPr>
      <w:r>
        <w:t xml:space="preserve">The chart of accounts, cost centre structure and opening balances signed by your accountant.</w:t>
      </w:r>
    </w:p>
    <w:p>
      <w:pPr>
        <w:numPr>
          <w:ilvl w:val="0"/>
          <w:numId w:val="1031"/>
        </w:numPr>
        <w:pStyle w:val="Compact"/>
      </w:pPr>
      <w:r>
        <w:t xml:space="preserve">Agreement on the costing model and the definition of cost per tonne before configuration begins.</w:t>
      </w:r>
    </w:p>
    <w:p>
      <w:pPr>
        <w:numPr>
          <w:ilvl w:val="0"/>
          <w:numId w:val="1031"/>
        </w:numPr>
        <w:pStyle w:val="Compact"/>
      </w:pPr>
      <w:r>
        <w:t xml:space="preserve">Phase acceptance notes reviewed and signed within five working days of submission.</w:t>
      </w:r>
    </w:p>
    <w:p>
      <w:pPr>
        <w:numPr>
          <w:ilvl w:val="0"/>
          <w:numId w:val="1032"/>
        </w:numPr>
        <w:pStyle w:val="Compact"/>
      </w:pPr>
      <w:r>
        <w:t xml:space="preserve">مالك واحد للمشروع مفوَّض باتخاذ القرار — ونوصي بأن يكون من الإدارة المالية.</w:t>
      </w:r>
    </w:p>
    <w:p>
      <w:pPr>
        <w:numPr>
          <w:ilvl w:val="0"/>
          <w:numId w:val="1032"/>
        </w:numPr>
        <w:pStyle w:val="Compact"/>
      </w:pPr>
      <w:r>
        <w:t xml:space="preserve">إتاحة المستخدمين الرئيسيين من المصنع وورشة التشكيل والساحة والمشتريات والمبيعات والحسابات للورش والاختبار والتدريب.</w:t>
      </w:r>
    </w:p>
    <w:p>
      <w:pPr>
        <w:numPr>
          <w:ilvl w:val="0"/>
          <w:numId w:val="1032"/>
        </w:numPr>
        <w:pStyle w:val="Compact"/>
      </w:pPr>
      <w:r>
        <w:t xml:space="preserve">البيانات القديمة — العملاء والموردون والمنتجات والدرجات والمخزون والأرصدة — بصيغة إلكترونية قابلة للقراءة.</w:t>
      </w:r>
    </w:p>
    <w:p>
      <w:pPr>
        <w:numPr>
          <w:ilvl w:val="0"/>
          <w:numId w:val="1032"/>
        </w:numPr>
        <w:pStyle w:val="Compact"/>
      </w:pPr>
      <w:r>
        <w:t xml:space="preserve">شجرة الحسابات وهيكل مراكز التكلفة والأرصدة الافتتاحية معتمدة من محاسبكم.</w:t>
      </w:r>
    </w:p>
    <w:p>
      <w:pPr>
        <w:numPr>
          <w:ilvl w:val="0"/>
          <w:numId w:val="1032"/>
        </w:numPr>
        <w:pStyle w:val="Compact"/>
      </w:pPr>
      <w:r>
        <w:t xml:space="preserve">الاتفاق على نموذج التكلفة وتعريف تكلفة الطن قبل بدء التهيئة.</w:t>
      </w:r>
    </w:p>
    <w:p>
      <w:pPr>
        <w:numPr>
          <w:ilvl w:val="0"/>
          <w:numId w:val="1032"/>
        </w:numPr>
        <w:pStyle w:val="Compact"/>
      </w:pPr>
      <w:r>
        <w:t xml:space="preserve">مراجعة محاضر قبول المراحل وتوقيعها خلال خمسة أيام عمل من تقديمها.</w:t>
      </w:r>
    </w:p>
    <w:p>
      <w:pPr>
        <w:pStyle w:val="Heading3"/>
      </w:pPr>
      <w:bookmarkStart w:id="54" w:name="assumptions-this-quotation-is-priced-on"/>
      <w:r>
        <w:t xml:space="preserve">Assumptions this quotation is priced on</w:t>
      </w:r>
      <w:bookmarkEnd w:id="54"/>
    </w:p>
    <w:p>
      <w:pPr>
        <w:pStyle w:val="FirstParagraph"/>
      </w:pPr>
      <w:r>
        <w:rPr>
          <w:b/>
        </w:rPr>
        <w:t xml:space="preserve">الافتراضات التي سُعِّر عليها هذا العرض</w:t>
      </w:r>
    </w:p>
    <w:tbl>
      <w:tblPr>
        <w:tblStyle w:val="Table"/>
        <w:tblW w:type="pct" w:w="0.0"/>
        <w:tblLook w:firstRow="1"/>
      </w:tblPr>
      <w:tblGrid/>
      <w:tr>
        <w:trPr>
          <w:cnfStyle w:firstRow="1"/>
        </w:trPr>
        <w:tc>
          <w:tcPr>
            <w:tcBorders>
              <w:bottom w:val="single"/>
            </w:tcBorders>
            <w:vAlign w:val="bottom"/>
          </w:tcPr>
          <w:p>
            <w:pPr>
              <w:pStyle w:val="Compact"/>
              <w:jc w:val="left"/>
            </w:pPr>
            <w:r>
              <w:t xml:space="preserve">Assumption</w:t>
            </w:r>
          </w:p>
        </w:tc>
        <w:tc>
          <w:tcPr>
            <w:tcBorders>
              <w:bottom w:val="single"/>
            </w:tcBorders>
            <w:vAlign w:val="bottom"/>
          </w:tcPr>
          <w:p>
            <w:pPr>
              <w:pStyle w:val="Compact"/>
              <w:jc w:val="left"/>
            </w:pPr>
            <w:r>
              <w:t xml:space="preserve">Detail</w:t>
            </w:r>
          </w:p>
        </w:tc>
      </w:tr>
      <w:tr>
        <w:tc>
          <w:p>
            <w:pPr>
              <w:pStyle w:val="Compact"/>
              <w:jc w:val="left"/>
            </w:pPr>
            <w:r>
              <w:t xml:space="preserve">Hosting</w:t>
            </w:r>
          </w:p>
        </w:tc>
        <w:tc>
          <w:p>
            <w:pPr>
              <w:pStyle w:val="Compact"/>
              <w:jc w:val="left"/>
            </w:pPr>
            <w:r>
              <w:t xml:space="preserve">Cloud (Odoo.sh recommended); hosting fees and Odoo Enterprise licences are paid by the client directly to the provider</w:t>
            </w:r>
          </w:p>
        </w:tc>
      </w:tr>
      <w:tr>
        <w:tc>
          <w:p>
            <w:pPr>
              <w:pStyle w:val="Compact"/>
              <w:jc w:val="left"/>
            </w:pPr>
            <w:r>
              <w:t xml:space="preserve">Sites</w:t>
            </w:r>
          </w:p>
        </w:tc>
        <w:tc>
          <w:p>
            <w:pPr>
              <w:pStyle w:val="Compact"/>
              <w:jc w:val="left"/>
            </w:pPr>
            <w:r>
              <w:t xml:space="preserve">One production site with its associated yard and offices</w:t>
            </w:r>
          </w:p>
        </w:tc>
      </w:tr>
      <w:tr>
        <w:tc>
          <w:p>
            <w:pPr>
              <w:pStyle w:val="Compact"/>
              <w:jc w:val="left"/>
            </w:pPr>
            <w:r>
              <w:t xml:space="preserve">Named users</w:t>
            </w:r>
          </w:p>
        </w:tc>
        <w:tc>
          <w:p>
            <w:pPr>
              <w:pStyle w:val="Compact"/>
              <w:jc w:val="left"/>
            </w:pPr>
            <w:r>
              <w:t xml:space="preserve">Up to 30 named users are included in the fee</w:t>
            </w:r>
          </w:p>
        </w:tc>
      </w:tr>
      <w:tr>
        <w:tc>
          <w:p>
            <w:pPr>
              <w:pStyle w:val="Compact"/>
              <w:jc w:val="left"/>
            </w:pPr>
            <w:r>
              <w:t xml:space="preserve">Weighbridge and devices</w:t>
            </w:r>
          </w:p>
        </w:tc>
        <w:tc>
          <w:p>
            <w:pPr>
              <w:pStyle w:val="Compact"/>
              <w:jc w:val="left"/>
            </w:pPr>
            <w:r>
              <w:t xml:space="preserve">Existing weighbridge, scanners and tablets are made available; hardware supply is not part of this quotation</w:t>
            </w:r>
          </w:p>
        </w:tc>
      </w:tr>
      <w:tr>
        <w:tc>
          <w:p>
            <w:pPr>
              <w:pStyle w:val="Compact"/>
              <w:jc w:val="left"/>
            </w:pPr>
            <w:r>
              <w:t xml:space="preserve">Language</w:t>
            </w:r>
          </w:p>
        </w:tc>
        <w:tc>
          <w:p>
            <w:pPr>
              <w:pStyle w:val="Compact"/>
              <w:jc w:val="left"/>
            </w:pPr>
            <w:r>
              <w:t xml:space="preserve">System interface, training and documentation delivered in Arabic and English</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الافتراض</w:t>
            </w:r>
          </w:p>
        </w:tc>
        <w:tc>
          <w:tcPr>
            <w:tcBorders>
              <w:bottom w:val="single"/>
            </w:tcBorders>
            <w:vAlign w:val="bottom"/>
          </w:tcPr>
          <w:p>
            <w:pPr>
              <w:pStyle w:val="Compact"/>
              <w:jc w:val="left"/>
            </w:pPr>
            <w:r>
              <w:t xml:space="preserve">التفصيل</w:t>
            </w:r>
          </w:p>
        </w:tc>
      </w:tr>
      <w:tr>
        <w:tc>
          <w:p>
            <w:pPr>
              <w:pStyle w:val="Compact"/>
              <w:jc w:val="left"/>
            </w:pPr>
            <w:r>
              <w:t xml:space="preserve">الاستضافة</w:t>
            </w:r>
          </w:p>
        </w:tc>
        <w:tc>
          <w:p>
            <w:pPr>
              <w:pStyle w:val="Compact"/>
              <w:jc w:val="left"/>
            </w:pPr>
            <w:r>
              <w:t xml:space="preserve">سحابية (يُوصى بـ Odoo.sh)؛ رسوم الاستضافة وتراخيص Odoo Enterprise يدفعها العميل مباشرة للمزوّد</w:t>
            </w:r>
          </w:p>
        </w:tc>
      </w:tr>
      <w:tr>
        <w:tc>
          <w:p>
            <w:pPr>
              <w:pStyle w:val="Compact"/>
              <w:jc w:val="left"/>
            </w:pPr>
            <w:r>
              <w:t xml:space="preserve">المواقع</w:t>
            </w:r>
          </w:p>
        </w:tc>
        <w:tc>
          <w:p>
            <w:pPr>
              <w:pStyle w:val="Compact"/>
              <w:jc w:val="left"/>
            </w:pPr>
            <w:r>
              <w:t xml:space="preserve">موقع إنتاجي واحد مع ساحته ومكاتبه</w:t>
            </w:r>
          </w:p>
        </w:tc>
      </w:tr>
      <w:tr>
        <w:tc>
          <w:p>
            <w:pPr>
              <w:pStyle w:val="Compact"/>
              <w:jc w:val="left"/>
            </w:pPr>
            <w:r>
              <w:t xml:space="preserve">المستخدمون المسمّون</w:t>
            </w:r>
          </w:p>
        </w:tc>
        <w:tc>
          <w:p>
            <w:pPr>
              <w:pStyle w:val="Compact"/>
              <w:jc w:val="left"/>
            </w:pPr>
            <w:r>
              <w:t xml:space="preserve">حتى 30 مستخدماً مسمّى مشمولون في القيمة</w:t>
            </w:r>
          </w:p>
        </w:tc>
      </w:tr>
      <w:tr>
        <w:tc>
          <w:p>
            <w:pPr>
              <w:pStyle w:val="Compact"/>
              <w:jc w:val="left"/>
            </w:pPr>
            <w:r>
              <w:t xml:space="preserve">الميزان والأجهزة</w:t>
            </w:r>
          </w:p>
        </w:tc>
        <w:tc>
          <w:p>
            <w:pPr>
              <w:pStyle w:val="Compact"/>
              <w:jc w:val="left"/>
            </w:pPr>
            <w:r>
              <w:t xml:space="preserve">إتاحة الميزان والماسحات والأجهزة اللوحية القائمة؛ توريد الأجهزة غير مشمول في هذا العرض</w:t>
            </w:r>
          </w:p>
        </w:tc>
      </w:tr>
      <w:tr>
        <w:tc>
          <w:p>
            <w:pPr>
              <w:pStyle w:val="Compact"/>
              <w:jc w:val="left"/>
            </w:pPr>
            <w:r>
              <w:t xml:space="preserve">اللغة</w:t>
            </w:r>
          </w:p>
        </w:tc>
        <w:tc>
          <w:p>
            <w:pPr>
              <w:pStyle w:val="Compact"/>
              <w:jc w:val="left"/>
            </w:pPr>
            <w:r>
              <w:t xml:space="preserve">واجهة النظام والتدريب والتوثيق بالعربية والإنجليزية</w:t>
            </w:r>
          </w:p>
        </w:tc>
      </w:tr>
    </w:tbl>
    <w:p>
      <w:pPr>
        <w:pStyle w:val="Heading2"/>
      </w:pPr>
      <w:bookmarkStart w:id="55" w:name="investment-and-payment-plan"/>
      <w:r>
        <w:t xml:space="preserve">6. Investment and payment plan</w:t>
      </w:r>
      <w:bookmarkEnd w:id="55"/>
    </w:p>
    <w:p>
      <w:pPr>
        <w:pStyle w:val="FirstParagraph"/>
      </w:pPr>
      <w:r>
        <w:rPr>
          <w:b/>
        </w:rPr>
        <w:t xml:space="preserve">6. الاستثمار وخطة السداد</w:t>
      </w:r>
    </w:p>
    <w:p>
      <w:pPr>
        <w:pStyle w:val="BodyText"/>
      </w:pPr>
      <w:r>
        <w:rPr>
          <w:b/>
        </w:rPr>
        <w:t xml:space="preserve">Net investment: 12,500.000 KWD</w:t>
      </w:r>
      <w:r>
        <w:t xml:space="preserve"> </w:t>
      </w:r>
      <w:r>
        <w:t xml:space="preserve">— a saving of 2,000.000 KWD against the list price of 14,500.000 KWD. The fee covers the 7 modules listed in this proposal for up to 30 named users, including implementation, configuration, data migration, training, go-live and 12 months of support. It excludes hosting and third-party licences.</w:t>
      </w:r>
    </w:p>
    <w:p>
      <w:pPr>
        <w:pStyle w:val="BodyText"/>
      </w:pPr>
      <w:r>
        <w:rPr>
          <w:b/>
        </w:rPr>
        <w:t xml:space="preserve">صافي الاستثمار: 12,500.000 د.ك</w:t>
      </w:r>
      <w:r>
        <w:t xml:space="preserve"> </w:t>
      </w:r>
      <w:r>
        <w:t xml:space="preserve">— بتوفير قدره 2,000.000 د.ك مقارنة بسعر القائمة البالغ 14,500.000 د.ك. تغطي القيمة 7 وحدات واردة في هذا العرض لعدد يصل إلى 30 مستخدماً مسمّى، شاملة التنفيذ والتهيئة وترحيل البيانات والتدريب والتشغيل الفعلي و12 شهراً من الدعم، ولا تشمل الاستضافة وتراخيص الأطراف الثالثة.</w:t>
      </w:r>
    </w:p>
    <w:tbl>
      <w:tblPr>
        <w:tblStyle w:val="Table"/>
        <w:tblW w:type="pct" w:w="0.0"/>
        <w:tblLook w:firstRow="1"/>
      </w:tblPr>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Milestone</w:t>
            </w:r>
          </w:p>
        </w:tc>
        <w:tc>
          <w:tcPr>
            <w:tcBorders>
              <w:bottom w:val="single"/>
            </w:tcBorders>
            <w:vAlign w:val="bottom"/>
          </w:tcPr>
          <w:p>
            <w:pPr>
              <w:pStyle w:val="Compact"/>
              <w:jc w:val="left"/>
            </w:pPr>
            <w:r>
              <w:t xml:space="preserve">Trigger</w:t>
            </w:r>
          </w:p>
        </w:tc>
        <w:tc>
          <w:tcPr>
            <w:tcBorders>
              <w:bottom w:val="single"/>
            </w:tcBorders>
            <w:vAlign w:val="bottom"/>
          </w:tcPr>
          <w:p>
            <w:pPr>
              <w:pStyle w:val="Compact"/>
              <w:jc w:val="left"/>
            </w:pPr>
            <w:r>
              <w:t xml:space="preserve">Share</w:t>
            </w:r>
          </w:p>
        </w:tc>
        <w:tc>
          <w:tcPr>
            <w:tcBorders>
              <w:bottom w:val="single"/>
            </w:tcBorders>
            <w:vAlign w:val="bottom"/>
          </w:tcPr>
          <w:p>
            <w:pPr>
              <w:pStyle w:val="Compact"/>
              <w:jc w:val="left"/>
            </w:pPr>
            <w:r>
              <w:t xml:space="preserve">Amount (KWD)</w:t>
            </w:r>
          </w:p>
        </w:tc>
      </w:tr>
      <w:tr>
        <w:tc>
          <w:p>
            <w:pPr>
              <w:pStyle w:val="Compact"/>
              <w:jc w:val="left"/>
            </w:pPr>
            <w:r>
              <w:t xml:space="preserve">1</w:t>
            </w:r>
          </w:p>
        </w:tc>
        <w:tc>
          <w:p>
            <w:pPr>
              <w:pStyle w:val="Compact"/>
              <w:jc w:val="left"/>
            </w:pPr>
            <w:r>
              <w:t xml:space="preserve">On signing of this proposal</w:t>
            </w:r>
          </w:p>
        </w:tc>
        <w:tc>
          <w:p>
            <w:pPr>
              <w:pStyle w:val="Compact"/>
              <w:jc w:val="left"/>
            </w:pPr>
            <w:r>
              <w:t xml:space="preserve">Kick-off scheduled and the discovery workshops booked</w:t>
            </w:r>
          </w:p>
        </w:tc>
        <w:tc>
          <w:p>
            <w:pPr>
              <w:pStyle w:val="Compact"/>
              <w:jc w:val="left"/>
            </w:pPr>
            <w:r>
              <w:t xml:space="preserve">30%</w:t>
            </w:r>
          </w:p>
        </w:tc>
        <w:tc>
          <w:p>
            <w:pPr>
              <w:pStyle w:val="Compact"/>
              <w:jc w:val="left"/>
            </w:pPr>
            <w:r>
              <w:t xml:space="preserve">3,750.000</w:t>
            </w:r>
          </w:p>
        </w:tc>
      </w:tr>
      <w:tr>
        <w:tc>
          <w:p>
            <w:pPr>
              <w:pStyle w:val="Compact"/>
              <w:jc w:val="left"/>
            </w:pPr>
            <w:r>
              <w:t xml:space="preserve">2</w:t>
            </w:r>
          </w:p>
        </w:tc>
        <w:tc>
          <w:p>
            <w:pPr>
              <w:pStyle w:val="Compact"/>
              <w:jc w:val="left"/>
            </w:pPr>
            <w:r>
              <w:t xml:space="preserve">Configuration completed</w:t>
            </w:r>
          </w:p>
        </w:tc>
        <w:tc>
          <w:p>
            <w:pPr>
              <w:pStyle w:val="Compact"/>
              <w:jc w:val="left"/>
            </w:pPr>
            <w:r>
              <w:t xml:space="preserve">System configured, cost model and chart of accounts accepted in writing</w:t>
            </w:r>
          </w:p>
        </w:tc>
        <w:tc>
          <w:p>
            <w:pPr>
              <w:pStyle w:val="Compact"/>
              <w:jc w:val="left"/>
            </w:pPr>
            <w:r>
              <w:t xml:space="preserve">30%</w:t>
            </w:r>
          </w:p>
        </w:tc>
        <w:tc>
          <w:p>
            <w:pPr>
              <w:pStyle w:val="Compact"/>
              <w:jc w:val="left"/>
            </w:pPr>
            <w:r>
              <w:t xml:space="preserve">3,750.000</w:t>
            </w:r>
          </w:p>
        </w:tc>
      </w:tr>
      <w:tr>
        <w:tc>
          <w:p>
            <w:pPr>
              <w:pStyle w:val="Compact"/>
              <w:jc w:val="left"/>
            </w:pPr>
            <w:r>
              <w:t xml:space="preserve">3</w:t>
            </w:r>
          </w:p>
        </w:tc>
        <w:tc>
          <w:p>
            <w:pPr>
              <w:pStyle w:val="Compact"/>
              <w:jc w:val="left"/>
            </w:pPr>
            <w:r>
              <w:t xml:space="preserve">UAT and training completed</w:t>
            </w:r>
          </w:p>
        </w:tc>
        <w:tc>
          <w:p>
            <w:pPr>
              <w:pStyle w:val="Compact"/>
              <w:jc w:val="left"/>
            </w:pPr>
            <w:r>
              <w:t xml:space="preserve">User acceptance testing signed off and role-based training delivered</w:t>
            </w:r>
          </w:p>
        </w:tc>
        <w:tc>
          <w:p>
            <w:pPr>
              <w:pStyle w:val="Compact"/>
              <w:jc w:val="left"/>
            </w:pPr>
            <w:r>
              <w:t xml:space="preserve">20%</w:t>
            </w:r>
          </w:p>
        </w:tc>
        <w:tc>
          <w:p>
            <w:pPr>
              <w:pStyle w:val="Compact"/>
              <w:jc w:val="left"/>
            </w:pPr>
            <w:r>
              <w:t xml:space="preserve">2,500.000</w:t>
            </w:r>
          </w:p>
        </w:tc>
      </w:tr>
      <w:tr>
        <w:tc>
          <w:p>
            <w:pPr>
              <w:pStyle w:val="Compact"/>
              <w:jc w:val="left"/>
            </w:pPr>
            <w:r>
              <w:t xml:space="preserve">4</w:t>
            </w:r>
          </w:p>
        </w:tc>
        <w:tc>
          <w:p>
            <w:pPr>
              <w:pStyle w:val="Compact"/>
              <w:jc w:val="left"/>
            </w:pPr>
            <w:r>
              <w:t xml:space="preserve">30 days after go-live</w:t>
            </w:r>
          </w:p>
        </w:tc>
        <w:tc>
          <w:p>
            <w:pPr>
              <w:pStyle w:val="Compact"/>
              <w:jc w:val="left"/>
            </w:pPr>
            <w:r>
              <w:t xml:space="preserve">Thirty days of hyper-care completed after the live cut-over</w:t>
            </w:r>
          </w:p>
        </w:tc>
        <w:tc>
          <w:p>
            <w:pPr>
              <w:pStyle w:val="Compact"/>
              <w:jc w:val="left"/>
            </w:pPr>
            <w:r>
              <w:t xml:space="preserve">20%</w:t>
            </w:r>
          </w:p>
        </w:tc>
        <w:tc>
          <w:p>
            <w:pPr>
              <w:pStyle w:val="Compact"/>
              <w:jc w:val="left"/>
            </w:pPr>
            <w:r>
              <w:t xml:space="preserve">2,500.000</w:t>
            </w:r>
          </w:p>
        </w:tc>
      </w:tr>
      <w:tr>
        <w:tc>
          <w:p/>
        </w:tc>
        <w:tc>
          <w:p>
            <w:pPr>
              <w:pStyle w:val="Compact"/>
              <w:jc w:val="left"/>
            </w:pPr>
            <w:r>
              <w:rPr>
                <w:b/>
              </w:rPr>
              <w:t xml:space="preserve">Total (net)</w:t>
            </w:r>
          </w:p>
        </w:tc>
        <w:tc>
          <w:p/>
        </w:tc>
        <w:tc>
          <w:p>
            <w:pPr>
              <w:pStyle w:val="Compact"/>
              <w:jc w:val="left"/>
            </w:pPr>
            <w:r>
              <w:rPr>
                <w:b/>
              </w:rPr>
              <w:t xml:space="preserve">100%</w:t>
            </w:r>
          </w:p>
        </w:tc>
        <w:tc>
          <w:p>
            <w:pPr>
              <w:pStyle w:val="Compact"/>
              <w:jc w:val="left"/>
            </w:pPr>
            <w:r>
              <w:rPr>
                <w:b/>
              </w:rPr>
              <w:t xml:space="preserve">12,500.000</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الدفعة</w:t>
            </w:r>
          </w:p>
        </w:tc>
        <w:tc>
          <w:tcPr>
            <w:tcBorders>
              <w:bottom w:val="single"/>
            </w:tcBorders>
            <w:vAlign w:val="bottom"/>
          </w:tcPr>
          <w:p>
            <w:pPr>
              <w:pStyle w:val="Compact"/>
              <w:jc w:val="left"/>
            </w:pPr>
            <w:r>
              <w:t xml:space="preserve">شرط الاستحقاق</w:t>
            </w:r>
          </w:p>
        </w:tc>
        <w:tc>
          <w:tcPr>
            <w:tcBorders>
              <w:bottom w:val="single"/>
            </w:tcBorders>
            <w:vAlign w:val="bottom"/>
          </w:tcPr>
          <w:p>
            <w:pPr>
              <w:pStyle w:val="Compact"/>
              <w:jc w:val="left"/>
            </w:pPr>
            <w:r>
              <w:t xml:space="preserve">النسبة</w:t>
            </w:r>
          </w:p>
        </w:tc>
        <w:tc>
          <w:tcPr>
            <w:tcBorders>
              <w:bottom w:val="single"/>
            </w:tcBorders>
            <w:vAlign w:val="bottom"/>
          </w:tcPr>
          <w:p>
            <w:pPr>
              <w:pStyle w:val="Compact"/>
              <w:jc w:val="left"/>
            </w:pPr>
            <w:r>
              <w:t xml:space="preserve">المبلغ (د.ك)</w:t>
            </w:r>
          </w:p>
        </w:tc>
      </w:tr>
      <w:tr>
        <w:tc>
          <w:p>
            <w:pPr>
              <w:pStyle w:val="Compact"/>
              <w:jc w:val="left"/>
            </w:pPr>
            <w:r>
              <w:t xml:space="preserve">1</w:t>
            </w:r>
          </w:p>
        </w:tc>
        <w:tc>
          <w:p>
            <w:pPr>
              <w:pStyle w:val="Compact"/>
              <w:jc w:val="left"/>
            </w:pPr>
            <w:r>
              <w:t xml:space="preserve">عند توقيع هذا العرض</w:t>
            </w:r>
          </w:p>
        </w:tc>
        <w:tc>
          <w:p>
            <w:pPr>
              <w:pStyle w:val="Compact"/>
              <w:jc w:val="left"/>
            </w:pPr>
            <w:r>
              <w:t xml:space="preserve">تحديد موعد الانطلاق وحجز ورش التحليل</w:t>
            </w:r>
          </w:p>
        </w:tc>
        <w:tc>
          <w:p>
            <w:pPr>
              <w:pStyle w:val="Compact"/>
              <w:jc w:val="left"/>
            </w:pPr>
            <w:r>
              <w:t xml:space="preserve">30%</w:t>
            </w:r>
          </w:p>
        </w:tc>
        <w:tc>
          <w:p>
            <w:pPr>
              <w:pStyle w:val="Compact"/>
              <w:jc w:val="left"/>
            </w:pPr>
            <w:r>
              <w:t xml:space="preserve">3,750.000</w:t>
            </w:r>
          </w:p>
        </w:tc>
      </w:tr>
      <w:tr>
        <w:tc>
          <w:p>
            <w:pPr>
              <w:pStyle w:val="Compact"/>
              <w:jc w:val="left"/>
            </w:pPr>
            <w:r>
              <w:t xml:space="preserve">2</w:t>
            </w:r>
          </w:p>
        </w:tc>
        <w:tc>
          <w:p>
            <w:pPr>
              <w:pStyle w:val="Compact"/>
              <w:jc w:val="left"/>
            </w:pPr>
            <w:r>
              <w:t xml:space="preserve">عند اكتمال التهيئة</w:t>
            </w:r>
          </w:p>
        </w:tc>
        <w:tc>
          <w:p>
            <w:pPr>
              <w:pStyle w:val="Compact"/>
              <w:jc w:val="left"/>
            </w:pPr>
            <w:r>
              <w:t xml:space="preserve">تهيئة النظام واعتماد نموذج التكلفة وشجرة الحسابات كتابياً</w:t>
            </w:r>
          </w:p>
        </w:tc>
        <w:tc>
          <w:p>
            <w:pPr>
              <w:pStyle w:val="Compact"/>
              <w:jc w:val="left"/>
            </w:pPr>
            <w:r>
              <w:t xml:space="preserve">30%</w:t>
            </w:r>
          </w:p>
        </w:tc>
        <w:tc>
          <w:p>
            <w:pPr>
              <w:pStyle w:val="Compact"/>
              <w:jc w:val="left"/>
            </w:pPr>
            <w:r>
              <w:t xml:space="preserve">3,750.000</w:t>
            </w:r>
          </w:p>
        </w:tc>
      </w:tr>
      <w:tr>
        <w:tc>
          <w:p>
            <w:pPr>
              <w:pStyle w:val="Compact"/>
              <w:jc w:val="left"/>
            </w:pPr>
            <w:r>
              <w:t xml:space="preserve">3</w:t>
            </w:r>
          </w:p>
        </w:tc>
        <w:tc>
          <w:p>
            <w:pPr>
              <w:pStyle w:val="Compact"/>
              <w:jc w:val="left"/>
            </w:pPr>
            <w:r>
              <w:t xml:space="preserve">عند اكتمال اختبار القبول والتدريب</w:t>
            </w:r>
          </w:p>
        </w:tc>
        <w:tc>
          <w:p>
            <w:pPr>
              <w:pStyle w:val="Compact"/>
              <w:jc w:val="left"/>
            </w:pPr>
            <w:r>
              <w:t xml:space="preserve">اعتماد اختبار قبول المستخدم وتسليم التدريب حسب الأدوار</w:t>
            </w:r>
          </w:p>
        </w:tc>
        <w:tc>
          <w:p>
            <w:pPr>
              <w:pStyle w:val="Compact"/>
              <w:jc w:val="left"/>
            </w:pPr>
            <w:r>
              <w:t xml:space="preserve">20%</w:t>
            </w:r>
          </w:p>
        </w:tc>
        <w:tc>
          <w:p>
            <w:pPr>
              <w:pStyle w:val="Compact"/>
              <w:jc w:val="left"/>
            </w:pPr>
            <w:r>
              <w:t xml:space="preserve">2,500.000</w:t>
            </w:r>
          </w:p>
        </w:tc>
      </w:tr>
      <w:tr>
        <w:tc>
          <w:p>
            <w:pPr>
              <w:pStyle w:val="Compact"/>
              <w:jc w:val="left"/>
            </w:pPr>
            <w:r>
              <w:t xml:space="preserve">4</w:t>
            </w:r>
          </w:p>
        </w:tc>
        <w:tc>
          <w:p>
            <w:pPr>
              <w:pStyle w:val="Compact"/>
              <w:jc w:val="left"/>
            </w:pPr>
            <w:r>
              <w:t xml:space="preserve">بعد 30 يوماً من التشغيل الفعلي</w:t>
            </w:r>
          </w:p>
        </w:tc>
        <w:tc>
          <w:p>
            <w:pPr>
              <w:pStyle w:val="Compact"/>
              <w:jc w:val="left"/>
            </w:pPr>
            <w:r>
              <w:t xml:space="preserve">إتمام ثلاثين يوماً من الدعم المكثف بعد التحول للتشغيل الفعلي</w:t>
            </w:r>
          </w:p>
        </w:tc>
        <w:tc>
          <w:p>
            <w:pPr>
              <w:pStyle w:val="Compact"/>
              <w:jc w:val="left"/>
            </w:pPr>
            <w:r>
              <w:t xml:space="preserve">20%</w:t>
            </w:r>
          </w:p>
        </w:tc>
        <w:tc>
          <w:p>
            <w:pPr>
              <w:pStyle w:val="Compact"/>
              <w:jc w:val="left"/>
            </w:pPr>
            <w:r>
              <w:t xml:space="preserve">2,500.000</w:t>
            </w:r>
          </w:p>
        </w:tc>
      </w:tr>
      <w:tr>
        <w:tc>
          <w:p/>
        </w:tc>
        <w:tc>
          <w:p>
            <w:pPr>
              <w:pStyle w:val="Compact"/>
              <w:jc w:val="left"/>
            </w:pPr>
            <w:r>
              <w:rPr>
                <w:b/>
              </w:rPr>
              <w:t xml:space="preserve">الإجمالي (الصافي)</w:t>
            </w:r>
          </w:p>
        </w:tc>
        <w:tc>
          <w:p/>
        </w:tc>
        <w:tc>
          <w:p>
            <w:pPr>
              <w:pStyle w:val="Compact"/>
              <w:jc w:val="left"/>
            </w:pPr>
            <w:r>
              <w:rPr>
                <w:b/>
              </w:rPr>
              <w:t xml:space="preserve">100%</w:t>
            </w:r>
          </w:p>
        </w:tc>
        <w:tc>
          <w:p>
            <w:pPr>
              <w:pStyle w:val="Compact"/>
              <w:jc w:val="left"/>
            </w:pPr>
            <w:r>
              <w:rPr>
                <w:b/>
              </w:rPr>
              <w:t xml:space="preserve">12,500.000</w:t>
            </w:r>
          </w:p>
        </w:tc>
      </w:tr>
    </w:tbl>
    <w:p>
      <w:pPr>
        <w:pStyle w:val="Heading3"/>
      </w:pPr>
      <w:bookmarkStart w:id="56" w:name="optional-and-out-of-scope-rates"/>
      <w:r>
        <w:t xml:space="preserve">Optional and out-of-scope rates</w:t>
      </w:r>
      <w:bookmarkEnd w:id="56"/>
    </w:p>
    <w:p>
      <w:pPr>
        <w:pStyle w:val="FirstParagraph"/>
      </w:pPr>
      <w:r>
        <w:rPr>
          <w:b/>
        </w:rPr>
        <w:t xml:space="preserve">الأسعار الاختيارية وخارج النطاق</w:t>
      </w:r>
    </w:p>
    <w:tbl>
      <w:tblPr>
        <w:tblStyle w:val="Table"/>
        <w:tblW w:type="pct" w:w="0.0"/>
        <w:tblLook w:firstRow="1"/>
      </w:tblPr>
      <w:tblGrid/>
      <w:tr>
        <w:trPr>
          <w:cnfStyle w:firstRow="1"/>
        </w:trPr>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Detail</w:t>
            </w:r>
          </w:p>
        </w:tc>
        <w:tc>
          <w:tcPr>
            <w:tcBorders>
              <w:bottom w:val="single"/>
            </w:tcBorders>
            <w:vAlign w:val="bottom"/>
          </w:tcPr>
          <w:p>
            <w:pPr>
              <w:pStyle w:val="Compact"/>
              <w:jc w:val="left"/>
            </w:pPr>
            <w:r>
              <w:t xml:space="preserve">Rate (KWD)</w:t>
            </w:r>
          </w:p>
        </w:tc>
      </w:tr>
      <w:tr>
        <w:tc>
          <w:p>
            <w:pPr>
              <w:pStyle w:val="Compact"/>
              <w:jc w:val="left"/>
            </w:pPr>
            <w:r>
              <w:t xml:space="preserve">Annual support &amp; maintenance</w:t>
            </w:r>
          </w:p>
        </w:tc>
        <w:tc>
          <w:p>
            <w:pPr>
              <w:pStyle w:val="Compact"/>
              <w:jc w:val="left"/>
            </w:pPr>
            <w:r>
              <w:t xml:space="preserve">Optional, after the 12 months included — 20% of the contract value per year</w:t>
            </w:r>
          </w:p>
        </w:tc>
        <w:tc>
          <w:p>
            <w:pPr>
              <w:pStyle w:val="Compact"/>
              <w:jc w:val="left"/>
            </w:pPr>
            <w:r>
              <w:t xml:space="preserve">2,500.000 / year</w:t>
            </w:r>
          </w:p>
        </w:tc>
      </w:tr>
      <w:tr>
        <w:tc>
          <w:p>
            <w:pPr>
              <w:pStyle w:val="Compact"/>
              <w:jc w:val="left"/>
            </w:pPr>
            <w:r>
              <w:t xml:space="preserve">Additional named user</w:t>
            </w:r>
          </w:p>
        </w:tc>
        <w:tc>
          <w:p>
            <w:pPr>
              <w:pStyle w:val="Compact"/>
              <w:jc w:val="left"/>
            </w:pPr>
            <w:r>
              <w:t xml:space="preserve">Beyond the 30 users included (one-off setup per user)</w:t>
            </w:r>
          </w:p>
        </w:tc>
        <w:tc>
          <w:p>
            <w:pPr>
              <w:pStyle w:val="Compact"/>
              <w:jc w:val="left"/>
            </w:pPr>
            <w:r>
              <w:t xml:space="preserve">45.000</w:t>
            </w:r>
          </w:p>
        </w:tc>
      </w:tr>
      <w:tr>
        <w:tc>
          <w:p>
            <w:pPr>
              <w:pStyle w:val="Compact"/>
              <w:jc w:val="left"/>
            </w:pPr>
            <w:r>
              <w:t xml:space="preserve">Out-of-scope development</w:t>
            </w:r>
          </w:p>
        </w:tc>
        <w:tc>
          <w:p>
            <w:pPr>
              <w:pStyle w:val="Compact"/>
              <w:jc w:val="left"/>
            </w:pPr>
            <w:r>
              <w:t xml:space="preserve">Quoted and approved in advance under change control, charged per hour</w:t>
            </w:r>
          </w:p>
        </w:tc>
        <w:tc>
          <w:p>
            <w:pPr>
              <w:pStyle w:val="Compact"/>
              <w:jc w:val="left"/>
            </w:pPr>
            <w:r>
              <w:t xml:space="preserve">25.000 / hour</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البند</w:t>
            </w:r>
          </w:p>
        </w:tc>
        <w:tc>
          <w:tcPr>
            <w:tcBorders>
              <w:bottom w:val="single"/>
            </w:tcBorders>
            <w:vAlign w:val="bottom"/>
          </w:tcPr>
          <w:p>
            <w:pPr>
              <w:pStyle w:val="Compact"/>
              <w:jc w:val="left"/>
            </w:pPr>
            <w:r>
              <w:t xml:space="preserve">التفصيل</w:t>
            </w:r>
          </w:p>
        </w:tc>
        <w:tc>
          <w:tcPr>
            <w:tcBorders>
              <w:bottom w:val="single"/>
            </w:tcBorders>
            <w:vAlign w:val="bottom"/>
          </w:tcPr>
          <w:p>
            <w:pPr>
              <w:pStyle w:val="Compact"/>
              <w:jc w:val="left"/>
            </w:pPr>
            <w:r>
              <w:t xml:space="preserve">السعر (د.ك)</w:t>
            </w:r>
          </w:p>
        </w:tc>
      </w:tr>
      <w:tr>
        <w:tc>
          <w:p>
            <w:pPr>
              <w:pStyle w:val="Compact"/>
              <w:jc w:val="left"/>
            </w:pPr>
            <w:r>
              <w:t xml:space="preserve">الدعم والصيانة السنوية</w:t>
            </w:r>
          </w:p>
        </w:tc>
        <w:tc>
          <w:p>
            <w:pPr>
              <w:pStyle w:val="Compact"/>
              <w:jc w:val="left"/>
            </w:pPr>
            <w:r>
              <w:t xml:space="preserve">اختياري بعد فترة الدعم المشمولة البالغة 12 شهراً — 20% من قيمة العقد سنوياً</w:t>
            </w:r>
          </w:p>
        </w:tc>
        <w:tc>
          <w:p>
            <w:pPr>
              <w:pStyle w:val="Compact"/>
              <w:jc w:val="left"/>
            </w:pPr>
            <w:r>
              <w:t xml:space="preserve">2,500.000 / سنوياً</w:t>
            </w:r>
          </w:p>
        </w:tc>
      </w:tr>
      <w:tr>
        <w:tc>
          <w:p>
            <w:pPr>
              <w:pStyle w:val="Compact"/>
              <w:jc w:val="left"/>
            </w:pPr>
            <w:r>
              <w:t xml:space="preserve">مستخدم مسمّى إضافي</w:t>
            </w:r>
          </w:p>
        </w:tc>
        <w:tc>
          <w:p>
            <w:pPr>
              <w:pStyle w:val="Compact"/>
              <w:jc w:val="left"/>
            </w:pPr>
            <w:r>
              <w:t xml:space="preserve">بعد المستخدمين الـ30 المشمولين (رسم إعداد لمرة واحدة لكل مستخدم)</w:t>
            </w:r>
          </w:p>
        </w:tc>
        <w:tc>
          <w:p>
            <w:pPr>
              <w:pStyle w:val="Compact"/>
              <w:jc w:val="left"/>
            </w:pPr>
            <w:r>
              <w:t xml:space="preserve">45.000</w:t>
            </w:r>
          </w:p>
        </w:tc>
      </w:tr>
      <w:tr>
        <w:tc>
          <w:p>
            <w:pPr>
              <w:pStyle w:val="Compact"/>
              <w:jc w:val="left"/>
            </w:pPr>
            <w:r>
              <w:t xml:space="preserve">تطوير خارج النطاق</w:t>
            </w:r>
          </w:p>
        </w:tc>
        <w:tc>
          <w:p>
            <w:pPr>
              <w:pStyle w:val="Compact"/>
              <w:jc w:val="left"/>
            </w:pPr>
            <w:r>
              <w:t xml:space="preserve">يُسعَّر ويُعتمد مسبقاً ضمن ضبط التغيير، ويُحتسب بالساعة</w:t>
            </w:r>
          </w:p>
        </w:tc>
        <w:tc>
          <w:p>
            <w:pPr>
              <w:pStyle w:val="Compact"/>
              <w:jc w:val="left"/>
            </w:pPr>
            <w:r>
              <w:t xml:space="preserve">25.000 / للساعة</w:t>
            </w:r>
          </w:p>
        </w:tc>
      </w:tr>
    </w:tbl>
    <w:p>
      <w:pPr>
        <w:pStyle w:val="BodyText"/>
      </w:pPr>
      <w:r>
        <w:t xml:space="preserve">Each invoice is payable within 15 days of issue. Prices are quoted in Kuwaiti Dinar and exclude hosting fees, Odoo Enterprise licences and any third-party subscription.</w:t>
      </w:r>
    </w:p>
    <w:p>
      <w:pPr>
        <w:pStyle w:val="BodyText"/>
      </w:pPr>
      <w:r>
        <w:t xml:space="preserve">تُستحق كل فاتورة خلال 15 يوماً من تاريخ إصدارها. الأسعار بالدينار الكويتي ولا تشمل رسوم الاستضافة وتراخيص Odoo Enterprise وأي اشتراك مع طرف ثالث.</w:t>
      </w:r>
    </w:p>
    <w:p>
      <w:pPr>
        <w:pStyle w:val="Heading2"/>
      </w:pPr>
      <w:bookmarkStart w:id="57" w:name="commercial-terms-and-conditions"/>
      <w:r>
        <w:t xml:space="preserve">7. Commercial terms and conditions</w:t>
      </w:r>
      <w:bookmarkEnd w:id="57"/>
    </w:p>
    <w:p>
      <w:pPr>
        <w:pStyle w:val="FirstParagraph"/>
      </w:pPr>
      <w:r>
        <w:rPr>
          <w:b/>
        </w:rPr>
        <w:t xml:space="preserve">7. الشروط والأحكام التجارية</w:t>
      </w:r>
    </w:p>
    <w:tbl>
      <w:tblPr>
        <w:tblStyle w:val="Table"/>
        <w:tblW w:type="pct" w:w="0.0"/>
        <w:tblLook w:firstRow="1"/>
      </w:tblPr>
      <w:tblGrid/>
      <w:tr>
        <w:trPr>
          <w:cnfStyle w:firstRow="1"/>
        </w:trPr>
        <w:tc>
          <w:tcPr>
            <w:tcBorders>
              <w:bottom w:val="single"/>
            </w:tcBorders>
            <w:vAlign w:val="bottom"/>
          </w:tcPr>
          <w:p>
            <w:pPr>
              <w:pStyle w:val="Compact"/>
              <w:jc w:val="left"/>
            </w:pPr>
            <w:r>
              <w:t xml:space="preserve">Term</w:t>
            </w:r>
          </w:p>
        </w:tc>
        <w:tc>
          <w:tcPr>
            <w:tcBorders>
              <w:bottom w:val="single"/>
            </w:tcBorders>
            <w:vAlign w:val="bottom"/>
          </w:tcPr>
          <w:p>
            <w:pPr>
              <w:pStyle w:val="Compact"/>
              <w:jc w:val="left"/>
            </w:pPr>
            <w:r>
              <w:t xml:space="preserve">Detail</w:t>
            </w:r>
          </w:p>
        </w:tc>
      </w:tr>
      <w:tr>
        <w:tc>
          <w:p>
            <w:pPr>
              <w:pStyle w:val="Compact"/>
              <w:jc w:val="left"/>
            </w:pPr>
            <w:r>
              <w:t xml:space="preserve">Validity</w:t>
            </w:r>
          </w:p>
        </w:tc>
        <w:tc>
          <w:p>
            <w:pPr>
              <w:pStyle w:val="Compact"/>
              <w:jc w:val="left"/>
            </w:pPr>
            <w:r>
              <w:t xml:space="preserve">This quotation is valid until 2 September 2026. After that date the commercial terms are reconfirmed before acceptance.</w:t>
            </w:r>
          </w:p>
        </w:tc>
      </w:tr>
      <w:tr>
        <w:tc>
          <w:p>
            <w:pPr>
              <w:pStyle w:val="Compact"/>
              <w:jc w:val="left"/>
            </w:pPr>
            <w:r>
              <w:t xml:space="preserve">Invoicing</w:t>
            </w:r>
          </w:p>
        </w:tc>
        <w:tc>
          <w:p>
            <w:pPr>
              <w:pStyle w:val="Compact"/>
              <w:jc w:val="left"/>
            </w:pPr>
            <w:r>
              <w:t xml:space="preserve">Each instalment is invoiced against a delivered and accepted milestone and is payable within 15 days of issue.</w:t>
            </w:r>
          </w:p>
        </w:tc>
      </w:tr>
      <w:tr>
        <w:tc>
          <w:p>
            <w:pPr>
              <w:pStyle w:val="Compact"/>
              <w:jc w:val="left"/>
            </w:pPr>
            <w:r>
              <w:t xml:space="preserve">Hosting &amp; licences</w:t>
            </w:r>
          </w:p>
        </w:tc>
        <w:tc>
          <w:p>
            <w:pPr>
              <w:pStyle w:val="Compact"/>
              <w:jc w:val="left"/>
            </w:pPr>
            <w:r>
              <w:t xml:space="preserve">Hosting, Odoo Enterprise and third-party subscriptions are paid by the client directly to the provider, separately from this quotation. We will procure them on your behalf at cost if you prefer.</w:t>
            </w:r>
          </w:p>
        </w:tc>
      </w:tr>
      <w:tr>
        <w:tc>
          <w:p>
            <w:pPr>
              <w:pStyle w:val="Compact"/>
              <w:jc w:val="left"/>
            </w:pPr>
            <w:r>
              <w:t xml:space="preserve">Acceptance</w:t>
            </w:r>
          </w:p>
        </w:tc>
        <w:tc>
          <w:p>
            <w:pPr>
              <w:pStyle w:val="Compact"/>
              <w:jc w:val="left"/>
            </w:pPr>
            <w:r>
              <w:t xml:space="preserve">Each phase closes with a written acceptance note. If no written objection is raised within five working days of a deliverable being submitted, that deliverable is deemed accepted.</w:t>
            </w:r>
          </w:p>
        </w:tc>
      </w:tr>
      <w:tr>
        <w:tc>
          <w:p>
            <w:pPr>
              <w:pStyle w:val="Compact"/>
              <w:jc w:val="left"/>
            </w:pPr>
            <w:r>
              <w:t xml:space="preserve">Change control</w:t>
            </w:r>
          </w:p>
        </w:tc>
        <w:tc>
          <w:p>
            <w:pPr>
              <w:pStyle w:val="Compact"/>
              <w:jc w:val="left"/>
            </w:pPr>
            <w:r>
              <w:t xml:space="preserve">Any addition to the agreed scope is documented in a written change request stating its effect on cost and timeline, and proceeds only once both parties sign it.</w:t>
            </w:r>
          </w:p>
        </w:tc>
      </w:tr>
      <w:tr>
        <w:tc>
          <w:p>
            <w:pPr>
              <w:pStyle w:val="Compact"/>
              <w:jc w:val="left"/>
            </w:pPr>
            <w:r>
              <w:t xml:space="preserve">Data ownership</w:t>
            </w:r>
          </w:p>
        </w:tc>
        <w:tc>
          <w:p>
            <w:pPr>
              <w:pStyle w:val="Compact"/>
              <w:jc w:val="left"/>
            </w:pPr>
            <w:r>
              <w:t xml:space="preserve">All data entered into the system is and remains the exclusive property of Kuwait Steel Industries Co., and is released as a standard restorable backup on request.</w:t>
            </w:r>
          </w:p>
        </w:tc>
      </w:tr>
      <w:tr>
        <w:tc>
          <w:p>
            <w:pPr>
              <w:pStyle w:val="Compact"/>
              <w:jc w:val="left"/>
            </w:pPr>
            <w:r>
              <w:t xml:space="preserve">Confidentiality</w:t>
            </w:r>
          </w:p>
        </w:tc>
        <w:tc>
          <w:p>
            <w:pPr>
              <w:pStyle w:val="Compact"/>
              <w:jc w:val="left"/>
            </w:pPr>
            <w:r>
              <w:t xml:space="preserve">Commercial, technical, production and financial information exchanged between the parties is kept confidential during the project and for three years afterwards.</w:t>
            </w:r>
          </w:p>
        </w:tc>
      </w:tr>
      <w:tr>
        <w:tc>
          <w:p>
            <w:pPr>
              <w:pStyle w:val="Compact"/>
              <w:jc w:val="left"/>
            </w:pPr>
            <w:r>
              <w:t xml:space="preserve">Support scope</w:t>
            </w:r>
          </w:p>
        </w:tc>
        <w:tc>
          <w:p>
            <w:pPr>
              <w:pStyle w:val="Compact"/>
              <w:jc w:val="left"/>
            </w:pPr>
            <w:r>
              <w:t xml:space="preserve">The 12 months of included support cover corrective support, user questions and configuration assistance on the delivered scope. New development is quoted separately.</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البند</w:t>
            </w:r>
          </w:p>
        </w:tc>
        <w:tc>
          <w:tcPr>
            <w:tcBorders>
              <w:bottom w:val="single"/>
            </w:tcBorders>
            <w:vAlign w:val="bottom"/>
          </w:tcPr>
          <w:p>
            <w:pPr>
              <w:pStyle w:val="Compact"/>
              <w:jc w:val="left"/>
            </w:pPr>
            <w:r>
              <w:t xml:space="preserve">التفصيل</w:t>
            </w:r>
          </w:p>
        </w:tc>
      </w:tr>
      <w:tr>
        <w:tc>
          <w:p>
            <w:pPr>
              <w:pStyle w:val="Compact"/>
              <w:jc w:val="left"/>
            </w:pPr>
            <w:r>
              <w:t xml:space="preserve">الصلاحية</w:t>
            </w:r>
          </w:p>
        </w:tc>
        <w:tc>
          <w:p>
            <w:pPr>
              <w:pStyle w:val="Compact"/>
              <w:jc w:val="left"/>
            </w:pPr>
            <w:r>
              <w:t xml:space="preserve">هذا العرض صالح حتى 2 سبتمبر 2026، وبعد ذلك التاريخ يُعاد تأكيد الشروط التجارية قبل القبول.</w:t>
            </w:r>
          </w:p>
        </w:tc>
      </w:tr>
      <w:tr>
        <w:tc>
          <w:p>
            <w:pPr>
              <w:pStyle w:val="Compact"/>
              <w:jc w:val="left"/>
            </w:pPr>
            <w:r>
              <w:t xml:space="preserve">الفوترة</w:t>
            </w:r>
          </w:p>
        </w:tc>
        <w:tc>
          <w:p>
            <w:pPr>
              <w:pStyle w:val="Compact"/>
              <w:jc w:val="left"/>
            </w:pPr>
            <w:r>
              <w:t xml:space="preserve">تُصدر كل دفعة مقابل مرحلة مُسلَّمة ومقبولة، وتُستحق خلال 15 يوماً من تاريخ الإصدار.</w:t>
            </w:r>
          </w:p>
        </w:tc>
      </w:tr>
      <w:tr>
        <w:tc>
          <w:p>
            <w:pPr>
              <w:pStyle w:val="Compact"/>
              <w:jc w:val="left"/>
            </w:pPr>
            <w:r>
              <w:t xml:space="preserve">الاستضافة والتراخيص</w:t>
            </w:r>
          </w:p>
        </w:tc>
        <w:tc>
          <w:p>
            <w:pPr>
              <w:pStyle w:val="Compact"/>
              <w:jc w:val="left"/>
            </w:pPr>
            <w:r>
              <w:t xml:space="preserve">الاستضافة وتراخيص Odoo Enterprise والاشتراكات مع أطراف ثالثة يدفعها العميل مباشرة للمزوّد بشكل منفصل عن هذا العرض، ويمكننا شراؤها نيابة عنكم بسعر التكلفة إن رغبتم.</w:t>
            </w:r>
          </w:p>
        </w:tc>
      </w:tr>
      <w:tr>
        <w:tc>
          <w:p>
            <w:pPr>
              <w:pStyle w:val="Compact"/>
              <w:jc w:val="left"/>
            </w:pPr>
            <w:r>
              <w:t xml:space="preserve">القبول</w:t>
            </w:r>
          </w:p>
        </w:tc>
        <w:tc>
          <w:p>
            <w:pPr>
              <w:pStyle w:val="Compact"/>
              <w:jc w:val="left"/>
            </w:pPr>
            <w:r>
              <w:t xml:space="preserve">تُختتم كل مرحلة بمحضر قبول مكتوب، وإذا لم يُقدَّم اعتراض خطي خلال خمسة أيام عمل من تسليم المُخرَج يُعدّ مقبولاً.</w:t>
            </w:r>
          </w:p>
        </w:tc>
      </w:tr>
      <w:tr>
        <w:tc>
          <w:p>
            <w:pPr>
              <w:pStyle w:val="Compact"/>
              <w:jc w:val="left"/>
            </w:pPr>
            <w:r>
              <w:t xml:space="preserve">ضبط التغيير</w:t>
            </w:r>
          </w:p>
        </w:tc>
        <w:tc>
          <w:p>
            <w:pPr>
              <w:pStyle w:val="Compact"/>
              <w:jc w:val="left"/>
            </w:pPr>
            <w:r>
              <w:t xml:space="preserve">يُوثَّق أي إضافة على النطاق المتفق عليه في طلب تغيير مكتوب يبيّن أثرها على الكلفة والجدول الزمني، ولا يُنفَّذ إلا بعد توقيع الطرفين عليه.</w:t>
            </w:r>
          </w:p>
        </w:tc>
      </w:tr>
      <w:tr>
        <w:tc>
          <w:p>
            <w:pPr>
              <w:pStyle w:val="Compact"/>
              <w:jc w:val="left"/>
            </w:pPr>
            <w:r>
              <w:t xml:space="preserve">ملكية البيانات</w:t>
            </w:r>
          </w:p>
        </w:tc>
        <w:tc>
          <w:p>
            <w:pPr>
              <w:pStyle w:val="Compact"/>
              <w:jc w:val="left"/>
            </w:pPr>
            <w:r>
              <w:t xml:space="preserve">جميع البيانات المُدخَلة في النظام هي ملك خالص لـشركة صناعات الحديد الكويتية وتبقى كذلك، وتُسلَّم كنسخة احتياطية قياسية قابلة للاسترجاع عند الطلب.</w:t>
            </w:r>
          </w:p>
        </w:tc>
      </w:tr>
      <w:tr>
        <w:tc>
          <w:p>
            <w:pPr>
              <w:pStyle w:val="Compact"/>
              <w:jc w:val="left"/>
            </w:pPr>
            <w:r>
              <w:t xml:space="preserve">السرية</w:t>
            </w:r>
          </w:p>
        </w:tc>
        <w:tc>
          <w:p>
            <w:pPr>
              <w:pStyle w:val="Compact"/>
              <w:jc w:val="left"/>
            </w:pPr>
            <w:r>
              <w:t xml:space="preserve">تُحفظ المعلومات التجارية والفنية والإنتاجية والمالية المتبادلة بين الطرفين سرّية أثناء المشروع ولمدة ثلاث سنوات بعده.</w:t>
            </w:r>
          </w:p>
        </w:tc>
      </w:tr>
      <w:tr>
        <w:tc>
          <w:p>
            <w:pPr>
              <w:pStyle w:val="Compact"/>
              <w:jc w:val="left"/>
            </w:pPr>
            <w:r>
              <w:t xml:space="preserve">نطاق الدعم</w:t>
            </w:r>
          </w:p>
        </w:tc>
        <w:tc>
          <w:p>
            <w:pPr>
              <w:pStyle w:val="Compact"/>
              <w:jc w:val="left"/>
            </w:pPr>
            <w:r>
              <w:t xml:space="preserve">يغطي الدعم المشمول لمدة 12 شهراً الدعم التصحيحي واستفسارات المستخدمين والمساعدة في التهيئة ضمن النطاق المُسلَّم، ويُسعَّر أي تطوير جديد بشكل منفصل.</w:t>
            </w:r>
          </w:p>
        </w:tc>
      </w:tr>
    </w:tbl>
    <w:p>
      <w:pPr>
        <w:pStyle w:val="Heading2"/>
      </w:pPr>
      <w:bookmarkStart w:id="58" w:name="why-dexor"/>
      <w:r>
        <w:t xml:space="preserve">8. Why Dexor</w:t>
      </w:r>
      <w:bookmarkEnd w:id="58"/>
    </w:p>
    <w:p>
      <w:pPr>
        <w:pStyle w:val="FirstParagraph"/>
      </w:pPr>
      <w:r>
        <w:rPr>
          <w:b/>
        </w:rPr>
        <w:t xml:space="preserve">8. لماذا ديكسور</w:t>
      </w:r>
    </w:p>
    <w:p>
      <w:pPr>
        <w:numPr>
          <w:ilvl w:val="0"/>
          <w:numId w:val="1033"/>
        </w:numPr>
        <w:pStyle w:val="Compact"/>
      </w:pPr>
      <w:r>
        <w:rPr>
          <w:b/>
        </w:rPr>
        <w:t xml:space="preserve">A licensed Kuwaiti entity</w:t>
      </w:r>
      <w:r>
        <w:t xml:space="preserve"> </w:t>
      </w:r>
      <w:r>
        <w:t xml:space="preserve">— Dexor Integrated Computer Solutions Co. W.L.L., Commercial Register 551952, trade licence 2026/14049, activity code 620213, State of Kuwait.</w:t>
      </w:r>
    </w:p>
    <w:p>
      <w:pPr>
        <w:numPr>
          <w:ilvl w:val="0"/>
          <w:numId w:val="1033"/>
        </w:numPr>
        <w:pStyle w:val="Compact"/>
      </w:pPr>
      <w:r>
        <w:rPr>
          <w:b/>
        </w:rPr>
        <w:t xml:space="preserve">Costing before configuration</w:t>
      </w:r>
      <w:r>
        <w:t xml:space="preserve"> </w:t>
      </w:r>
      <w:r>
        <w:t xml:space="preserve">— the cost model, the cost centres and the definition of cost per tonne are agreed in writing before the first screen is configured.</w:t>
      </w:r>
    </w:p>
    <w:p>
      <w:pPr>
        <w:numPr>
          <w:ilvl w:val="0"/>
          <w:numId w:val="1033"/>
        </w:numPr>
        <w:pStyle w:val="Compact"/>
      </w:pPr>
      <w:r>
        <w:rPr>
          <w:b/>
        </w:rPr>
        <w:t xml:space="preserve">Built for the people who will use it</w:t>
      </w:r>
      <w:r>
        <w:t xml:space="preserve"> </w:t>
      </w:r>
      <w:r>
        <w:t xml:space="preserve">— a shop-floor terminal that works in a hot mill, and a ledger finance can defend to an auditor, from the same transactions.</w:t>
      </w:r>
    </w:p>
    <w:p>
      <w:pPr>
        <w:numPr>
          <w:ilvl w:val="0"/>
          <w:numId w:val="1033"/>
        </w:numPr>
        <w:pStyle w:val="Compact"/>
      </w:pPr>
      <w:r>
        <w:rPr>
          <w:b/>
        </w:rPr>
        <w:t xml:space="preserve">Accountable milestones</w:t>
      </w:r>
      <w:r>
        <w:t xml:space="preserve"> </w:t>
      </w:r>
      <w:r>
        <w:t xml:space="preserve">— written acceptance at every phase with payment tied to it.</w:t>
      </w:r>
    </w:p>
    <w:p>
      <w:pPr>
        <w:numPr>
          <w:ilvl w:val="0"/>
          <w:numId w:val="1033"/>
        </w:numPr>
        <w:pStyle w:val="Compact"/>
      </w:pPr>
      <w:r>
        <w:rPr>
          <w:b/>
        </w:rPr>
        <w:t xml:space="preserve">Bilingual delivery</w:t>
      </w:r>
      <w:r>
        <w:t xml:space="preserve"> </w:t>
      </w:r>
      <w:r>
        <w:t xml:space="preserve">— documentation, training and support in Arabic and English by a team based in the region.</w:t>
      </w:r>
    </w:p>
    <w:p>
      <w:pPr>
        <w:numPr>
          <w:ilvl w:val="0"/>
          <w:numId w:val="1033"/>
        </w:numPr>
        <w:pStyle w:val="Compact"/>
      </w:pPr>
      <w:r>
        <w:rPr>
          <w:b/>
        </w:rPr>
        <w:t xml:space="preserve">Support that starts at go-live</w:t>
      </w:r>
      <w:r>
        <w:t xml:space="preserve"> </w:t>
      </w:r>
      <w:r>
        <w:t xml:space="preserve">— 12 months included, beginning with thirty days of hyper-care while the first month-end closes on the new system.</w:t>
      </w:r>
    </w:p>
    <w:p>
      <w:pPr>
        <w:numPr>
          <w:ilvl w:val="0"/>
          <w:numId w:val="1034"/>
        </w:numPr>
        <w:pStyle w:val="Compact"/>
      </w:pPr>
      <w:r>
        <w:rPr>
          <w:b/>
        </w:rPr>
        <w:t xml:space="preserve">كيان كويتي مرخَّص</w:t>
      </w:r>
      <w:r>
        <w:t xml:space="preserve"> </w:t>
      </w:r>
      <w:r>
        <w:t xml:space="preserve">— شركة ديكسور للحلول المتكاملة الحاسوبية ذ.م.م، السجل التجاري 551952، الترخيص التجاري 2026/14049، رمز النشاط 620213، دولة الكويت.</w:t>
      </w:r>
    </w:p>
    <w:p>
      <w:pPr>
        <w:numPr>
          <w:ilvl w:val="0"/>
          <w:numId w:val="1034"/>
        </w:numPr>
        <w:pStyle w:val="Compact"/>
      </w:pPr>
      <w:r>
        <w:rPr>
          <w:b/>
        </w:rPr>
        <w:t xml:space="preserve">التكلفة قبل التهيئة</w:t>
      </w:r>
      <w:r>
        <w:t xml:space="preserve"> </w:t>
      </w:r>
      <w:r>
        <w:t xml:space="preserve">— يُتفق كتابياً على نموذج التكلفة ومراكز التكلفة وتعريف تكلفة الطن قبل تهيئة أول شاشة.</w:t>
      </w:r>
    </w:p>
    <w:p>
      <w:pPr>
        <w:numPr>
          <w:ilvl w:val="0"/>
          <w:numId w:val="1034"/>
        </w:numPr>
        <w:pStyle w:val="Compact"/>
      </w:pPr>
      <w:r>
        <w:rPr>
          <w:b/>
        </w:rPr>
        <w:t xml:space="preserve">مصمَّم لمن سيستخدمه</w:t>
      </w:r>
      <w:r>
        <w:t xml:space="preserve"> </w:t>
      </w:r>
      <w:r>
        <w:t xml:space="preserve">— طرفية أرض مصنع تعمل في بيئة الدرفلة الساخنة، ودفتر أستاذ تدافع عنه الإدارة المالية أمام المدقق، من الحركات نفسها.</w:t>
      </w:r>
    </w:p>
    <w:p>
      <w:pPr>
        <w:numPr>
          <w:ilvl w:val="0"/>
          <w:numId w:val="1034"/>
        </w:numPr>
        <w:pStyle w:val="Compact"/>
      </w:pPr>
      <w:r>
        <w:rPr>
          <w:b/>
        </w:rPr>
        <w:t xml:space="preserve">مراحل خاضعة للمساءلة</w:t>
      </w:r>
      <w:r>
        <w:t xml:space="preserve"> </w:t>
      </w:r>
      <w:r>
        <w:t xml:space="preserve">— قبول مكتوب عند كل مرحلة والدفع مرتبط به.</w:t>
      </w:r>
    </w:p>
    <w:p>
      <w:pPr>
        <w:numPr>
          <w:ilvl w:val="0"/>
          <w:numId w:val="1034"/>
        </w:numPr>
        <w:pStyle w:val="Compact"/>
      </w:pPr>
      <w:r>
        <w:rPr>
          <w:b/>
        </w:rPr>
        <w:t xml:space="preserve">تسليم ثنائي اللغة</w:t>
      </w:r>
      <w:r>
        <w:t xml:space="preserve"> </w:t>
      </w:r>
      <w:r>
        <w:t xml:space="preserve">— التوثيق والتدريب والدعم بالعربية والإنجليزية من فريق موجود في المنطقة.</w:t>
      </w:r>
    </w:p>
    <w:p>
      <w:pPr>
        <w:numPr>
          <w:ilvl w:val="0"/>
          <w:numId w:val="1034"/>
        </w:numPr>
        <w:pStyle w:val="Compact"/>
      </w:pPr>
      <w:r>
        <w:rPr>
          <w:b/>
        </w:rPr>
        <w:t xml:space="preserve">دعم يبدأ من التشغيل الفعلي</w:t>
      </w:r>
      <w:r>
        <w:t xml:space="preserve"> </w:t>
      </w:r>
      <w:r>
        <w:t xml:space="preserve">— 12 شهراً مشمولة، تبدأ بثلاثين يوماً من الدعم المكثف أثناء أول إقفال شهري على النظام الجديد.</w:t>
      </w:r>
    </w:p>
    <w:p>
      <w:pPr>
        <w:pStyle w:val="Heading2"/>
      </w:pPr>
      <w:bookmarkStart w:id="59" w:name="acceptance"/>
      <w:r>
        <w:t xml:space="preserve">9. Acceptance</w:t>
      </w:r>
      <w:bookmarkEnd w:id="59"/>
    </w:p>
    <w:p>
      <w:pPr>
        <w:pStyle w:val="FirstParagraph"/>
      </w:pPr>
      <w:r>
        <w:rPr>
          <w:b/>
        </w:rPr>
        <w:t xml:space="preserve">9. القبول</w:t>
      </w:r>
    </w:p>
    <w:p>
      <w:pPr>
        <w:pStyle w:val="BodyText"/>
      </w:pPr>
      <w:r>
        <w:t xml:space="preserve">To proceed, sign below and return one copy. We will issue the implementation agreement referencing this quotation (DX-2026-008) and schedule the kick-off workshop within five working days.</w:t>
      </w:r>
    </w:p>
    <w:p>
      <w:pPr>
        <w:pStyle w:val="BodyText"/>
      </w:pPr>
      <w:r>
        <w:t xml:space="preserve">للمضي قدماً، يُرجى التوقيع أدناه وإعادة نسخة واحدة. وسنصدر اتفاقية التنفيذ بالإشارة إلى عرض السعر هذا (DX-2026-008) ونحدد موعد ورشة الانطلاق خلال خمسة أيام عمل.</w:t>
      </w:r>
    </w:p>
    <w:tbl>
      <w:tblPr>
        <w:tblStyle w:val="Table"/>
        <w:tblW w:type="pct" w:w="0.0"/>
        <w:tblLook w:firstRow="1"/>
      </w:tblPr>
      <w:tblGrid/>
      <w:tr>
        <w:trPr>
          <w:cnfStyle w:firstRow="1"/>
        </w:trPr>
        <w:tc>
          <w:tcPr>
            <w:tcBorders>
              <w:bottom w:val="single"/>
            </w:tcBorders>
            <w:vAlign w:val="bottom"/>
          </w:tcPr>
          <w:p>
            <w:pPr>
              <w:pStyle w:val="Compact"/>
              <w:jc w:val="left"/>
            </w:pPr>
            <w:r>
              <w:t xml:space="preserve">Summary</w:t>
            </w:r>
          </w:p>
        </w:tc>
        <w:tc>
          <w:tcPr>
            <w:tcBorders>
              <w:bottom w:val="single"/>
            </w:tcBorders>
            <w:vAlign w:val="bottom"/>
          </w:tcPr>
          <w:p>
            <w:pPr>
              <w:pStyle w:val="Compact"/>
              <w:jc w:val="left"/>
            </w:pPr>
            <w:r>
              <w:t xml:space="preserve">Detail</w:t>
            </w:r>
          </w:p>
        </w:tc>
      </w:tr>
      <w:tr>
        <w:tc>
          <w:p>
            <w:pPr>
              <w:pStyle w:val="Compact"/>
              <w:jc w:val="left"/>
            </w:pPr>
            <w:r>
              <w:t xml:space="preserve">Client</w:t>
            </w:r>
          </w:p>
        </w:tc>
        <w:tc>
          <w:p>
            <w:pPr>
              <w:pStyle w:val="Compact"/>
              <w:jc w:val="left"/>
            </w:pPr>
            <w:r>
              <w:t xml:space="preserve">Kuwait Steel Industries Co.</w:t>
            </w:r>
          </w:p>
        </w:tc>
      </w:tr>
      <w:tr>
        <w:tc>
          <w:p>
            <w:pPr>
              <w:pStyle w:val="Compact"/>
              <w:jc w:val="left"/>
            </w:pPr>
            <w:r>
              <w:t xml:space="preserve">Quotation reference</w:t>
            </w:r>
          </w:p>
        </w:tc>
        <w:tc>
          <w:p>
            <w:pPr>
              <w:pStyle w:val="Compact"/>
              <w:jc w:val="left"/>
            </w:pPr>
            <w:r>
              <w:t xml:space="preserve">DX-2026-008</w:t>
            </w:r>
          </w:p>
        </w:tc>
      </w:tr>
      <w:tr>
        <w:tc>
          <w:p>
            <w:pPr>
              <w:pStyle w:val="Compact"/>
              <w:jc w:val="left"/>
            </w:pPr>
            <w:r>
              <w:t xml:space="preserve">Modules in scope</w:t>
            </w:r>
          </w:p>
        </w:tc>
        <w:tc>
          <w:p>
            <w:pPr>
              <w:pStyle w:val="Compact"/>
              <w:jc w:val="left"/>
            </w:pPr>
            <w:r>
              <w:t xml:space="preserve">7 modules as listed in this document</w:t>
            </w:r>
          </w:p>
        </w:tc>
      </w:tr>
      <w:tr>
        <w:tc>
          <w:p>
            <w:pPr>
              <w:pStyle w:val="Compact"/>
              <w:jc w:val="left"/>
            </w:pPr>
            <w:r>
              <w:t xml:space="preserve">Named users</w:t>
            </w:r>
          </w:p>
        </w:tc>
        <w:tc>
          <w:p>
            <w:pPr>
              <w:pStyle w:val="Compact"/>
              <w:jc w:val="left"/>
            </w:pPr>
            <w:r>
              <w:t xml:space="preserve">30</w:t>
            </w:r>
          </w:p>
        </w:tc>
      </w:tr>
      <w:tr>
        <w:tc>
          <w:p>
            <w:pPr>
              <w:pStyle w:val="Compact"/>
              <w:jc w:val="left"/>
            </w:pPr>
            <w:r>
              <w:t xml:space="preserve">Implementation period</w:t>
            </w:r>
          </w:p>
        </w:tc>
        <w:tc>
          <w:p>
            <w:pPr>
              <w:pStyle w:val="Compact"/>
              <w:jc w:val="left"/>
            </w:pPr>
            <w:r>
              <w:t xml:space="preserve">Approximately 12–16 weeks from kick-off</w:t>
            </w:r>
          </w:p>
        </w:tc>
      </w:tr>
      <w:tr>
        <w:tc>
          <w:p>
            <w:pPr>
              <w:pStyle w:val="Compact"/>
              <w:jc w:val="left"/>
            </w:pPr>
            <w:r>
              <w:t xml:space="preserve">Net investment</w:t>
            </w:r>
          </w:p>
        </w:tc>
        <w:tc>
          <w:p>
            <w:pPr>
              <w:pStyle w:val="Compact"/>
              <w:jc w:val="left"/>
            </w:pPr>
            <w:r>
              <w:t xml:space="preserve">12,500.000 KWD (list price 14,500.000 KWD)</w:t>
            </w:r>
          </w:p>
        </w:tc>
      </w:tr>
      <w:tr>
        <w:tc>
          <w:p>
            <w:pPr>
              <w:pStyle w:val="Compact"/>
              <w:jc w:val="left"/>
            </w:pPr>
            <w:r>
              <w:t xml:space="preserve">Support included</w:t>
            </w:r>
          </w:p>
        </w:tc>
        <w:tc>
          <w:p>
            <w:pPr>
              <w:pStyle w:val="Compact"/>
              <w:jc w:val="left"/>
            </w:pPr>
            <w:r>
              <w:t xml:space="preserve">12 months from go-live</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الملخص</w:t>
            </w:r>
          </w:p>
        </w:tc>
        <w:tc>
          <w:tcPr>
            <w:tcBorders>
              <w:bottom w:val="single"/>
            </w:tcBorders>
            <w:vAlign w:val="bottom"/>
          </w:tcPr>
          <w:p>
            <w:pPr>
              <w:pStyle w:val="Compact"/>
              <w:jc w:val="left"/>
            </w:pPr>
            <w:r>
              <w:t xml:space="preserve">التفصيل</w:t>
            </w:r>
          </w:p>
        </w:tc>
      </w:tr>
      <w:tr>
        <w:tc>
          <w:p>
            <w:pPr>
              <w:pStyle w:val="Compact"/>
              <w:jc w:val="left"/>
            </w:pPr>
            <w:r>
              <w:t xml:space="preserve">العميل</w:t>
            </w:r>
          </w:p>
        </w:tc>
        <w:tc>
          <w:p>
            <w:pPr>
              <w:pStyle w:val="Compact"/>
              <w:jc w:val="left"/>
            </w:pPr>
            <w:r>
              <w:t xml:space="preserve">شركة صناعات الحديد الكويتية</w:t>
            </w:r>
          </w:p>
        </w:tc>
      </w:tr>
      <w:tr>
        <w:tc>
          <w:p>
            <w:pPr>
              <w:pStyle w:val="Compact"/>
              <w:jc w:val="left"/>
            </w:pPr>
            <w:r>
              <w:t xml:space="preserve">مرجع عرض السعر</w:t>
            </w:r>
          </w:p>
        </w:tc>
        <w:tc>
          <w:p>
            <w:pPr>
              <w:pStyle w:val="Compact"/>
              <w:jc w:val="left"/>
            </w:pPr>
            <w:r>
              <w:t xml:space="preserve">DX-2026-008</w:t>
            </w:r>
          </w:p>
        </w:tc>
      </w:tr>
      <w:tr>
        <w:tc>
          <w:p>
            <w:pPr>
              <w:pStyle w:val="Compact"/>
              <w:jc w:val="left"/>
            </w:pPr>
            <w:r>
              <w:t xml:space="preserve">الوحدات ضمن النطاق</w:t>
            </w:r>
          </w:p>
        </w:tc>
        <w:tc>
          <w:p>
            <w:pPr>
              <w:pStyle w:val="Compact"/>
              <w:jc w:val="left"/>
            </w:pPr>
            <w:r>
              <w:t xml:space="preserve">7 وحدات كما هي واردة في هذه الوثيقة</w:t>
            </w:r>
          </w:p>
        </w:tc>
      </w:tr>
      <w:tr>
        <w:tc>
          <w:p>
            <w:pPr>
              <w:pStyle w:val="Compact"/>
              <w:jc w:val="left"/>
            </w:pPr>
            <w:r>
              <w:t xml:space="preserve">المستخدمون المسمّون</w:t>
            </w:r>
          </w:p>
        </w:tc>
        <w:tc>
          <w:p>
            <w:pPr>
              <w:pStyle w:val="Compact"/>
              <w:jc w:val="left"/>
            </w:pPr>
            <w:r>
              <w:t xml:space="preserve">30</w:t>
            </w:r>
          </w:p>
        </w:tc>
      </w:tr>
      <w:tr>
        <w:tc>
          <w:p>
            <w:pPr>
              <w:pStyle w:val="Compact"/>
              <w:jc w:val="left"/>
            </w:pPr>
            <w:r>
              <w:t xml:space="preserve">فترة التنفيذ</w:t>
            </w:r>
          </w:p>
        </w:tc>
        <w:tc>
          <w:p>
            <w:pPr>
              <w:pStyle w:val="Compact"/>
              <w:jc w:val="left"/>
            </w:pPr>
            <w:r>
              <w:t xml:space="preserve">نحو 12–16 أسبوعاً من تاريخ الانطلاق</w:t>
            </w:r>
          </w:p>
        </w:tc>
      </w:tr>
      <w:tr>
        <w:tc>
          <w:p>
            <w:pPr>
              <w:pStyle w:val="Compact"/>
              <w:jc w:val="left"/>
            </w:pPr>
            <w:r>
              <w:t xml:space="preserve">صافي الاستثمار</w:t>
            </w:r>
          </w:p>
        </w:tc>
        <w:tc>
          <w:p>
            <w:pPr>
              <w:pStyle w:val="Compact"/>
              <w:jc w:val="left"/>
            </w:pPr>
            <w:r>
              <w:t xml:space="preserve">12,500.000 د.ك (سعر القائمة 14,500.000 د.ك)</w:t>
            </w:r>
          </w:p>
        </w:tc>
      </w:tr>
      <w:tr>
        <w:tc>
          <w:p>
            <w:pPr>
              <w:pStyle w:val="Compact"/>
              <w:jc w:val="left"/>
            </w:pPr>
            <w:r>
              <w:t xml:space="preserve">الدعم المشمول</w:t>
            </w:r>
          </w:p>
        </w:tc>
        <w:tc>
          <w:p>
            <w:pPr>
              <w:pStyle w:val="Compact"/>
              <w:jc w:val="left"/>
            </w:pPr>
            <w:r>
              <w:t xml:space="preserve">12 شهراً من التشغيل الفعلي</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For Dexor Integrated Computer Solutions Co. W.L.L.</w:t>
            </w:r>
          </w:p>
        </w:tc>
        <w:tc>
          <w:tcPr>
            <w:tcBorders>
              <w:bottom w:val="single"/>
            </w:tcBorders>
            <w:vAlign w:val="bottom"/>
          </w:tcPr>
          <w:p>
            <w:pPr>
              <w:pStyle w:val="Compact"/>
              <w:jc w:val="left"/>
            </w:pPr>
            <w:r>
              <w:t xml:space="preserve">For Kuwait Steel Industries Co.</w:t>
            </w:r>
          </w:p>
        </w:tc>
      </w:tr>
      <w:tr>
        <w:tc>
          <w:p>
            <w:pPr>
              <w:pStyle w:val="Compact"/>
              <w:jc w:val="left"/>
            </w:pPr>
            <w:r>
              <w:t xml:space="preserve">Eng. Hisham — Authorised Signatory</w:t>
            </w:r>
          </w:p>
        </w:tc>
        <w:tc>
          <w:p>
            <w:pPr>
              <w:pStyle w:val="Compact"/>
              <w:jc w:val="left"/>
            </w:pPr>
            <w:r>
              <w:t xml:space="preserve">Name and position: _____________________________</w:t>
            </w:r>
          </w:p>
        </w:tc>
      </w:tr>
      <w:tr>
        <w:tc>
          <w:p>
            <w:pPr>
              <w:pStyle w:val="Compact"/>
              <w:jc w:val="left"/>
            </w:pPr>
            <w:r>
              <w:t xml:space="preserve">Signature: _____________________________</w:t>
            </w:r>
          </w:p>
        </w:tc>
        <w:tc>
          <w:p>
            <w:pPr>
              <w:pStyle w:val="Compact"/>
              <w:jc w:val="left"/>
            </w:pPr>
            <w:r>
              <w:t xml:space="preserve">Signature: _____________________________</w:t>
            </w:r>
          </w:p>
        </w:tc>
      </w:tr>
      <w:tr>
        <w:tc>
          <w:p>
            <w:pPr>
              <w:pStyle w:val="Compact"/>
              <w:jc w:val="left"/>
            </w:pPr>
            <w:r>
              <w:t xml:space="preserve">Date: ___ / ___ / ______</w:t>
            </w:r>
          </w:p>
        </w:tc>
        <w:tc>
          <w:p>
            <w:pPr>
              <w:pStyle w:val="Compact"/>
              <w:jc w:val="left"/>
            </w:pPr>
            <w:r>
              <w:t xml:space="preserve">Date: ___ / ___ / ______ · Company stamp</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عن شركة ديكسور للحلول المتكاملة الحاسوبية ذ.م.م</w:t>
            </w:r>
          </w:p>
        </w:tc>
        <w:tc>
          <w:tcPr>
            <w:tcBorders>
              <w:bottom w:val="single"/>
            </w:tcBorders>
            <w:vAlign w:val="bottom"/>
          </w:tcPr>
          <w:p>
            <w:pPr>
              <w:pStyle w:val="Compact"/>
              <w:jc w:val="left"/>
            </w:pPr>
            <w:r>
              <w:t xml:space="preserve">عن شركة صناعات الحديد الكويتية</w:t>
            </w:r>
          </w:p>
        </w:tc>
      </w:tr>
      <w:tr>
        <w:tc>
          <w:p>
            <w:pPr>
              <w:pStyle w:val="Compact"/>
              <w:jc w:val="left"/>
            </w:pPr>
            <w:r>
              <w:t xml:space="preserve">المهندس هشام — المفوَّض بالتوقيع</w:t>
            </w:r>
          </w:p>
        </w:tc>
        <w:tc>
          <w:p>
            <w:pPr>
              <w:pStyle w:val="Compact"/>
              <w:jc w:val="left"/>
            </w:pPr>
            <w:r>
              <w:t xml:space="preserve">الاسم والصفة: _____________________________</w:t>
            </w:r>
          </w:p>
        </w:tc>
      </w:tr>
      <w:tr>
        <w:tc>
          <w:p>
            <w:pPr>
              <w:pStyle w:val="Compact"/>
              <w:jc w:val="left"/>
            </w:pPr>
            <w:r>
              <w:t xml:space="preserve">التوقيع: _____________________________</w:t>
            </w:r>
          </w:p>
        </w:tc>
        <w:tc>
          <w:p>
            <w:pPr>
              <w:pStyle w:val="Compact"/>
              <w:jc w:val="left"/>
            </w:pPr>
            <w:r>
              <w:t xml:space="preserve">التوقيع: _____________________________</w:t>
            </w:r>
          </w:p>
        </w:tc>
      </w:tr>
      <w:tr>
        <w:tc>
          <w:p>
            <w:pPr>
              <w:pStyle w:val="Compact"/>
              <w:jc w:val="left"/>
            </w:pPr>
            <w:r>
              <w:t xml:space="preserve">التاريخ: ___ / ___ / ______</w:t>
            </w:r>
          </w:p>
        </w:tc>
        <w:tc>
          <w:p>
            <w:pPr>
              <w:pStyle w:val="Compact"/>
              <w:jc w:val="left"/>
            </w:pPr>
            <w:r>
              <w:t xml:space="preserve">التاريخ: ___ / ___ / ______ · ختم الشركة</w:t>
            </w:r>
          </w:p>
        </w:tc>
      </w:tr>
    </w:tbl>
    <w:p>
      <w:pPr>
        <w:pStyle w:val="BodyText"/>
      </w:pPr>
      <w:r>
        <w:t xml:space="preserve">Questions on any part of this proposal are welcome before signature — info@dexor.ae · +20 15 501 42 885.</w:t>
      </w:r>
    </w:p>
    <w:p>
      <w:pPr>
        <w:pStyle w:val="BodyText"/>
      </w:pPr>
      <w:r>
        <w:t xml:space="preserve">نرحّب بأي استفسار حول أي جزء من هذا العرض قبل التوقيع — info@dexor.ae · +20 15 501 42 885.</w:t>
      </w:r>
    </w:p>
    <w:sectPr w:rsidR="00FC693F" w:rsidRPr="0006063C" w:rsidSect="00034616">
      <w:pgSz w:w="12240" w:h="15840"/>
      <w:pgMar w:top="1296" w:right="1368" w:bottom="1296" w:left="1368"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after="140" w:line="269" w:lineRule="auto"/>
    </w:pPr>
    <w:rPr>
      <w:rFonts w:ascii="Calibri" w:hAnsi="Calibri"/>
      <w:color w:val="1A223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Georgia" w:hAnsi="Georgia"/>
      <w:b/>
      <w:bCs/>
      <w:color w:val="051C3C"/>
      <w:sz w:val="32"/>
      <w:szCs w:val="28"/>
    </w:rPr>
  </w:style>
  <w:style w:type="paragraph" w:styleId="Heading2">
    <w:name w:val="heading 2"/>
    <w:basedOn w:val="Normal"/>
    <w:next w:val="Normal"/>
    <w:link w:val="Heading2Char"/>
    <w:uiPriority w:val="9"/>
    <w:unhideWhenUsed/>
    <w:qFormat/>
    <w:rsid w:val="00FC693F"/>
    <w:pPr>
      <w:keepNext/>
      <w:keepLines/>
      <w:spacing w:before="260" w:after="100"/>
      <w:outlineLvl w:val="1"/>
    </w:pPr>
    <w:rPr>
      <w:rFonts w:asciiTheme="majorHAnsi" w:eastAsiaTheme="majorEastAsia" w:hAnsiTheme="majorHAnsi" w:cstheme="majorBidi" w:ascii="Georgia" w:hAnsi="Georgia"/>
      <w:b/>
      <w:bCs/>
      <w:color w:val="051C3C"/>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Calibri" w:hAnsi="Calibri"/>
      <w:b/>
      <w:bCs/>
      <w:color w:val="051C3C"/>
      <w:sz w:val="23"/>
    </w:rPr>
  </w:style>
  <w:style w:type="paragraph" w:styleId="Heading4">
    <w:name w:val="heading 4"/>
    <w:basedOn w:val="Normal"/>
    <w:next w:val="Normal"/>
    <w:link w:val="Heading4Char"/>
    <w:uiPriority w:val="9"/>
    <w:semiHidden/>
    <w:unhideWhenUsed/>
    <w:qFormat/>
    <w:rsid w:val="00FC693F"/>
    <w:pPr>
      <w:keepNext/>
      <w:keepLines/>
      <w:spacing w:before="160" w:after="60"/>
      <w:outlineLvl w:val="3"/>
    </w:pPr>
    <w:rPr>
      <w:rFonts w:asciiTheme="majorHAnsi" w:eastAsiaTheme="majorEastAsia" w:hAnsiTheme="majorHAnsi" w:cstheme="majorBidi" w:ascii="Calibri" w:hAnsi="Calibri"/>
      <w:b/>
      <w:bCs/>
      <w:i/>
      <w:iCs/>
      <w:color w:val="5D627A"/>
      <w:sz w:val="21"/>
    </w:rPr>
  </w:style>
  <w:style w:type="paragraph" w:styleId="Heading5">
    <w:name w:val="heading 5"/>
    <w:basedOn w:val="Normal"/>
    <w:next w:val="Normal"/>
    <w:link w:val="Heading5Char"/>
    <w:uiPriority w:val="9"/>
    <w:semiHidden/>
    <w:unhideWhenUsed/>
    <w:qFormat/>
    <w:rsid w:val="00FC693F"/>
    <w:pPr>
      <w:keepNext/>
      <w:keepLines/>
      <w:spacing w:before="160" w:after="60"/>
      <w:outlineLvl w:val="4"/>
    </w:pPr>
    <w:rPr>
      <w:rFonts w:asciiTheme="majorHAnsi" w:eastAsiaTheme="majorEastAsia" w:hAnsiTheme="majorHAnsi" w:cstheme="majorBidi" w:ascii="Calibri" w:hAnsi="Calibri"/>
      <w:b/>
      <w:color w:val="5D627A"/>
      <w:sz w:val="21"/>
    </w:rPr>
  </w:style>
  <w:style w:type="paragraph" w:styleId="Heading6">
    <w:name w:val="heading 6"/>
    <w:basedOn w:val="Normal"/>
    <w:next w:val="Normal"/>
    <w:link w:val="Heading6Char"/>
    <w:uiPriority w:val="9"/>
    <w:semiHidden/>
    <w:unhideWhenUsed/>
    <w:qFormat/>
    <w:rsid w:val="00FC693F"/>
    <w:pPr>
      <w:keepNext/>
      <w:keepLines/>
      <w:spacing w:before="160" w:after="60"/>
      <w:outlineLvl w:val="5"/>
    </w:pPr>
    <w:rPr>
      <w:rFonts w:asciiTheme="majorHAnsi" w:eastAsiaTheme="majorEastAsia" w:hAnsiTheme="majorHAnsi" w:cstheme="majorBidi" w:ascii="Calibri" w:hAnsi="Calibri"/>
      <w:b/>
      <w:i/>
      <w:iCs/>
      <w:color w:val="5D627A"/>
      <w:sz w:val="2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val="0"/>
      <w:pBdr>
        <w:bottom w:val="single" w:sz="8" w:space="4" w:color="4F81BD" w:themeColor="accent1"/>
      </w:pBdr>
      <w:spacing w:after="80" w:line="240" w:lineRule="auto"/>
      <w:contextualSpacing/>
      <w:jc w:val="left"/>
    </w:pPr>
    <w:rPr>
      <w:rFonts w:asciiTheme="majorHAnsi" w:eastAsiaTheme="majorEastAsia" w:hAnsiTheme="majorHAnsi" w:cstheme="majorBidi" w:ascii="Georgia" w:hAnsi="Georgia"/>
      <w:b/>
      <w:color w:val="051C3C"/>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val="0"/>
      <w:numPr>
        <w:ilvl w:val="1"/>
      </w:numPr>
      <w:spacing w:after="200"/>
    </w:pPr>
    <w:rPr>
      <w:rFonts w:asciiTheme="majorHAnsi" w:eastAsiaTheme="majorEastAsia" w:hAnsiTheme="majorHAnsi" w:cstheme="majorBidi" w:ascii="Calibri" w:hAnsi="Calibri"/>
      <w:b w:val="0"/>
      <w:i/>
      <w:iCs/>
      <w:color w:val="5D627A"/>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keepNext w:val="0"/>
    </w:pPr>
    <w:rPr>
      <w:rFonts w:ascii="Calibri" w:hAnsi="Calibri"/>
      <w:i/>
      <w:iCs/>
      <w:color w:val="5D627A"/>
      <w:sz w:val="2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Odoo ERP Implementation Proposal · Kuwait Steel Industries Co. · DX-2026-008</dc:title>
  <dc:creator/>
  <dc:language>en</dc:language>
  <cp:keywords/>
  <dcterms:created xsi:type="dcterms:W3CDTF">2026-08-03T12:32:21Z</dcterms:created>
  <dcterms:modified xsi:type="dcterms:W3CDTF">2026-08-03T12:32:21Z</dcterms:modified>
</cp:coreProperties>
</file>

<file path=docProps/custom.xml><?xml version="1.0" encoding="utf-8"?>
<Properties xmlns="http://schemas.openxmlformats.org/officeDocument/2006/custom-properties" xmlns:vt="http://schemas.openxmlformats.org/officeDocument/2006/docPropsVTypes"/>
</file>